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654503101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CHIU Chang-Wei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No. 2A, 255 Des Voeux Road West,, Sai Ying Pun, Hong Kong</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Hong Kong, K3, 000000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852 84899659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654503101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Prosperity Oak Holdings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Note to Row 1: Mr. CHIU Chang-Wei holds 100% of the voting power of the shares of Prosperity Oak Holdings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Limited. 2. Each of Row 7, 9, and 11 represents 57,965,652 Class A Ordinary Shares held by Prosperity Oak Holdings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Limited. 3. Note to Row 13: The percentage of class of securities beneficially owned by Prosperity Oak Holdings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Limited is calculated based on a total of 365,280,890 Class A Ordinary Shares issued and outstanding (consisting of (i)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197,363,156 Class A Ordinary Shares issued and outstanding as reported in the Reporting Person's Schedule 13D</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Amendment No. 1 filed with the Securities and Exchange Commission on November 5, 2025; plus (ii) 167,917,734 Class A Ordinary shares issued to certain persons as the consideration of the Transaction (as defined herein below) on January 9, 2026, as reported in Exhibit 99.1 of the Issuer's Form 6-K filed with the Securities and Exchange Commission on January 13, 2026. The voting power of the shares beneficially owned by Prosperity Oak Holdings Limited represents 5.2% of the total outstanding voting power. The percentage of voting power is calculated by dividing the voting power beneficially owned by Prosperity Oak Holdings Limited by the voting power of (i) a total of 365,280,890 Class A Ordinary Shares issued and outstanding as described above, and (ii) 24,641,937 Class B1 Ordinary Shares issued and outstanding and 13,362,381 Class B2 Ordinary Shares issued and outstanding as of June 27, 2025, as reported in the Reporting Person's Schedule 13D Amendment No. 1 filed with the Securities and Exchange Commission on November 5, 2025. In respect of all matters subject to a shareholders' vote, each Class A ordinary share is entitled to one vote, each Class B1 ordinary share is entitled to 20 votes, and each Class B2 ordinary share is entitled to 20 votes, voting together as one class.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654503101</w:t>
      </w:r>
    </w:p>
    <w:p>
      <w:pPr>
        <w:sectPr>
          <w:pgSz w:w="11900" w:h="16838" w:orient="portrait"/>
          <w:cols w:equalWidth="0" w:num="1">
            <w:col w:w="11240"/>
          </w:cols>
          <w:pgMar w:left="320" w:top="126"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CHIU Chang-Wei</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Note to Row 1: Mr. CHIU Chang-Wei holds 100% of the voting power of the shares of Prosperity Oak Holdings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Limited. 2. Each of Row 7, 9, and 11 represents 57,965,652 Class A Ordinary Shares held by Prosperity Oak Holdings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Limited. 3. Note to Row 13: The percentage of class of securities beneficially owned by Prosperity Oak Holdings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Limited is calculated based on a total of 365,280,890 Class A Ordinary Shares issued and outstanding (consisting of (i)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197,363,156 Class A Ordinary Shares issued and outstanding as reported in the Reporting Person's Schedule 13D</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Amendment No. 1 filed with the Securities and Exchange Commission on November 5, 2025; plus (ii) 167,917,734 Class A Ordinary shares issued to certain persons as the consideration of the Transaction (as defined herein below) on January 9, 2026, as reported in Exhibit 99.1 of the Issuer's Form 6-K filed with the Securities and Exchange Commission on January 13, 2026). The voting power of the shares beneficially owned by Prosperity Oak Holdings Limited represents 5.2% of the total outstanding voting power. The percentage of voting power is calculated by dividing the voting power beneficially owned by Prosperity Oak Holdings Limited by the voting power of (i) a total of 365,280,890 Class A Ordinary Shares issued and outstanding as described above, and (ii) 24,641,937 Class B1 Ordinary Shares issued and outstanding and 13,362,381 Class B2 Ordinary Shares issued and outstanding as of June 27, 2025, the Reporting Person's Schedule 13D Amendment No. 1 filed with the Securities and Exchange Commission on November 5, 2025. In respect of all matters subject to a shareholders' vote, each Class A ordinary share is entitled to one vote, each Class B1 ordinary share is entitled to 20 votes, and each Class B2 ordinary share is entitled to 20 votes, voting together as one class.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11" w:right="339" w:bottom="0" w:gutter="0" w:footer="0" w:header="0"/>
        </w:sectPr>
      </w:pP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hanging="932"/>
        <w:spacing w:after="0"/>
        <w:tabs>
          <w:tab w:leader="none" w:pos="9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38" w:orient="portrait"/>
          <w:cols w:equalWidth="0" w:num="1">
            <w:col w:w="11240"/>
          </w:cols>
          <w:pgMar w:left="320" w:top="111" w:right="339" w:bottom="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22"/>
          <w:szCs w:val="22"/>
          <w:color w:val="auto"/>
        </w:rPr>
        <w:t>Class A Ordinary Shares, par value US$0.0001 per share</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NIP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Rosenlundsgatan 31, 11 863, Stockholm, Sweden, Stockholm, SWEDEN , 11863.</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1" w:lineRule="auto"/>
        <w:rPr>
          <w:sz w:val="20"/>
          <w:szCs w:val="20"/>
          <w:color w:val="auto"/>
        </w:rPr>
      </w:pPr>
      <w:r>
        <w:rPr>
          <w:rFonts w:ascii="Times New Roman" w:cs="Times New Roman" w:eastAsia="Times New Roman" w:hAnsi="Times New Roman"/>
          <w:sz w:val="22"/>
          <w:szCs w:val="22"/>
          <w:color w:val="auto"/>
        </w:rPr>
        <w:t>On November 3, 2025, the Issuer, the Reporting Person, Apex Cyber Capital Limited and certain other party (the "Second Tranche Selling Parties") entered into an asset-purchase agreement (as amended from time to time, the "Second Tranche Agreement"). Under the agreement, subject to certain closing conditions, the Issuer will acquire mining infrastructure and computational capacity with a combined hash rate of approximately 8.19 EH/s and will issue an aggregate of up to 314,515,762 Class A ordinary shares as consideration to the Second Tranche Selling Parties and/or the sellers that they procure. On January 9, 2026, the Issuer and the Second Tranche Selling Parties entered into an Amendment to the Second Tranche Agreement (the "Second Amendment"), which provided that the closing with respect to the computational capacity and the mining infrastructure may take place separately. The combined hash rate acquired or to be acquired by the Issuer under the Second Tranche Agreement as amended by the Second Amendment remains approximately 8.19 EH/s (the "Transaction"). Pursuant to the amended Second Tranche Agreement and upon the initial closing of the Transaction on January 9, 2026, the Issuer has issued an aggregate of 167,917,734 Class A ordinary shares to the sellers that the Second Tranche Selling Parties procure. Upon the subsequent closing of the Transaction, the Issuer will issue the unlisted interest-free convertible notes, which subject to the terms and conditions therein, are convertible into up to 146,598,028 Class A ordinary shares. Such convertible notes are not included in the beneficial ownership reporting in this amendment, as such documents have not been substantially finalized. The information set forth in Item 6 is hereby incorporated by reference in its entirety. Other than as set forth in this Schedule 13D, no Reporting Person has any present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of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person; (h) A class of securities of the Issuer being delisted from a national securities exchange or ceasing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20"/>
        <w:spacing w:after="0" w:line="239" w:lineRule="auto"/>
        <w:rPr>
          <w:sz w:val="20"/>
          <w:szCs w:val="20"/>
          <w:color w:val="auto"/>
        </w:rPr>
      </w:pPr>
      <w:r>
        <w:rPr>
          <w:rFonts w:ascii="Times New Roman" w:cs="Times New Roman" w:eastAsia="Times New Roman" w:hAnsi="Times New Roman"/>
          <w:sz w:val="22"/>
          <w:szCs w:val="22"/>
          <w:color w:val="auto"/>
        </w:rPr>
        <w:t>99.1 Joint Filing Agreement 99.2 On-rack Sales and Purchase Agreement between NIP Group Inc. and Persons Listed in Section 1.1 of Appendix A, dated November 3, 2025 (incorporated herein by reference to Exhibit 99.2 to report of foreign private issuer on Form 6-K (File No. 001-42160), filed with Securities and Exchange Commission on November 3, 2025) 99.3 The Amendment to the On-rack Sales and Purchase Agreement, dated January 9, 2025</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Prosperity Oak Holdings Limited</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CHIU Chang-Wei</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CHIU Chang-Wei/Director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CHIU Chang-Wei</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CHIU Chang-Wei</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CHIU Chang-Wei</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ectPr>
          <w:pgSz w:w="11900" w:h="16838" w:orient="portrait"/>
          <w:cols w:equalWidth="0" w:num="1">
            <w:col w:w="11160"/>
          </w:cols>
          <w:pgMar w:left="360" w:top="35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Joint Filing Agreement hereby confirms the agreement by and among the undersigned that the Schedule 13D filed with the Securities and Exchange Commission on or about the date hereof with respect to the beneficial ownership by the undersigned of the Class A Ordinary Shares, par value $0.0001 per share, of NIP Group Inc. is being filed, and all amendments thereto will be filed, on behalf of each of the entities named below that is named as a reporting person in such filing in accordance with Rule 13d-1(k) under the Securities Exchange Act of 1934, as amended. This agreement may be executed in any number of counterparts, each of which shall be deemed an original, but all of which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January 13,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Prosperity Oak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CHIU Chang-Wei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CHIU Chang-Wei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CHIU Chang-Wei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CHIU Chang-Wei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ON-RACK SALES AND PURCHASE AGREEMENT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January 9,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amends that certain On-Rack Sales and Purchase Agreement dated November 3, 2025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NIP Group Inc.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the Persons listed in Section 1.1 of Schedule A thereto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Capitalized terms used but not defined herein have the meanings set forth in the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Purchaser and the Sellers entered into the Agreement pursuant to which the Purchaser agrees to purchase the Purchased Assets and engage Cloud Mining Services on the terms set forth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desire to amend the Agreement as set forth herein, and this Amendment shall be binding on all Parties to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 and intending to be legally bound, the Parties agree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should be added to Clause 1.1 of the Agreement:</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Purchase Price</w:t>
      </w:r>
      <w:r>
        <w:rPr>
          <w:rFonts w:ascii="Times New Roman" w:cs="Times New Roman" w:eastAsia="Times New Roman" w:hAnsi="Times New Roman"/>
          <w:sz w:val="18"/>
          <w:szCs w:val="18"/>
          <w:color w:val="auto"/>
        </w:rPr>
        <w:t>” of a Seller means the product of USD8.00 per T, multiplied by the Product Hashrate of such Seller.</w:t>
      </w:r>
    </w:p>
    <w:p>
      <w:pPr>
        <w:spacing w:after="0" w:line="22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in Clause 1.1 of the Agreement shall be deleted in its entirety and replaced with the following:</w:t>
      </w:r>
    </w:p>
    <w:p>
      <w:pPr>
        <w:spacing w:after="0" w:line="221" w:lineRule="exact"/>
        <w:rPr>
          <w:rFonts w:ascii="Times New Roman" w:cs="Times New Roman" w:eastAsia="Times New Roman" w:hAnsi="Times New Roman"/>
          <w:sz w:val="18"/>
          <w:szCs w:val="18"/>
          <w:color w:val="auto"/>
        </w:rPr>
      </w:pPr>
    </w:p>
    <w:p>
      <w:pPr>
        <w:jc w:val="both"/>
        <w:ind w:left="1300" w:right="2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 Documents</w:t>
      </w:r>
      <w:r>
        <w:rPr>
          <w:rFonts w:ascii="Times New Roman" w:cs="Times New Roman" w:eastAsia="Times New Roman" w:hAnsi="Times New Roman"/>
          <w:sz w:val="17"/>
          <w:szCs w:val="17"/>
          <w:color w:val="auto"/>
        </w:rPr>
        <w:t>” means this Agreement, Investor Rights Agreement, the Hosting Service Agreements, the Cloud Mining Services Agreements, the Notes, and any other agreements documents, certificate or writing delivered in connection with this Agreement.</w:t>
      </w:r>
    </w:p>
    <w:p>
      <w:pPr>
        <w:spacing w:after="0" w:line="13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Long Stop Date</w:t>
      </w:r>
      <w:r>
        <w:rPr>
          <w:rFonts w:ascii="Times New Roman" w:cs="Times New Roman" w:eastAsia="Times New Roman" w:hAnsi="Times New Roman"/>
          <w:sz w:val="18"/>
          <w:szCs w:val="18"/>
          <w:color w:val="auto"/>
        </w:rPr>
        <w:t>” as defined in the Agreement shall be changed to March 31, 2026.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2.3(a)(i) of the Agreement shall be deleted in its entirety and replaced with the following:</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Shares (as defined blow) of such Seller in the name of such Seller, as evidenced by a copy of relevant extracts of the register of members of the Purchaser reflecting such Seller as the legal owner of the Issued Shares;”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closing deliverable of the Purchaser shall be added to Clause 2.4(a) of the Agreement:</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executed Note in the principal amount of the Product Purchase Price of such Seller issued to such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Clauses 3.1 to 3.2 of the Agreement shall be deleted in its entirety and replaced with the following: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“3.1 The aggregate consideration for the Purchased Assets of a Seller in connection with the Proposed Transaction as set forth in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shall be the Notes (as defined below), and the aggregate consideration for the Cloud Mining Services of a Seller in connection with the Proposed Transaction as set forth in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shall be the Issued Shares (as defined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 At the Closing, subject to each Seller’s fulfillment of its obligations under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640" w:hanging="320"/>
        <w:spacing w:after="0" w:line="254"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Purchased Assets of such Seller, the Purchaser shall issue unlisted interest-free convertible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an aggregate principal amount of the Product Purchase Price of such Seller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to such Seller in the form to be agreed by the relevant Seller and the Purchaser, which the Notes, subject to the terms and conditions therein, is convertible, in whole or in part, into certain number of Class A Ordinary Shares at an initial conversion price of US$0.2082617 per Class A Ordinary Share (subject to adjustment)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(such Class A Ordinary Shares so converted,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Upon the Seller’s exercise of its right attaching to the Conversion Shares, against payment of the conversion price therefor (being the aggregate Conversion Price of the Conversion Shares), the Purchaser shall promptly issue to the Seller all of the Conversion Shares free and clear of all Encumbrances (other than (i) Encumbrances pursuant to the constitutional documents of the Purchaser or Applicable Laws and (ii) Encumbrances created by the Seller or its Affiliates), and deliver to the Seller a copy of the relevant extracts of the register of members of the Purchaser reflecting the Seller as the legal owner of the Conversion Shares; and</w:t>
      </w:r>
    </w:p>
    <w:p>
      <w:pPr>
        <w:spacing w:after="0" w:line="189" w:lineRule="exact"/>
        <w:rPr>
          <w:rFonts w:ascii="Times New Roman" w:cs="Times New Roman" w:eastAsia="Times New Roman" w:hAnsi="Times New Roman"/>
          <w:sz w:val="18"/>
          <w:szCs w:val="18"/>
          <w:color w:val="auto"/>
        </w:rPr>
      </w:pPr>
    </w:p>
    <w:p>
      <w:pPr>
        <w:jc w:val="both"/>
        <w:ind w:left="640" w:hanging="320"/>
        <w:spacing w:after="0" w:line="25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Cloud Mining Services of such Seller, the Purchaser shall issue to such Seller, and such Seller shall subscribe for from the Purchaser, in a private placement transaction and in consideration of the Cloud Mining Services of such Seller, such Seller’s Issued Shares, free and clear of all Encumbrances (other than (i) Encumbrances pursuant to the constitutional documents of the Purchaser or Applicable Laws and (ii) Encumbrances created by such Seller or its Affiliates). For purposes hereof, “</w:t>
      </w:r>
      <w:r>
        <w:rPr>
          <w:rFonts w:ascii="Times New Roman" w:cs="Times New Roman" w:eastAsia="Times New Roman" w:hAnsi="Times New Roman"/>
          <w:sz w:val="18"/>
          <w:szCs w:val="18"/>
          <w:b w:val="1"/>
          <w:bCs w:val="1"/>
          <w:color w:val="auto"/>
        </w:rPr>
        <w:t>Issued Shares</w:t>
      </w:r>
      <w:r>
        <w:rPr>
          <w:rFonts w:ascii="Times New Roman" w:cs="Times New Roman" w:eastAsia="Times New Roman" w:hAnsi="Times New Roman"/>
          <w:sz w:val="18"/>
          <w:szCs w:val="18"/>
          <w:color w:val="auto"/>
        </w:rPr>
        <w:t>” of a Seller shall mean a number of Class A Ordinary Shares equal to the product of Issued Shares per T multiplied by the Service Hashrate of such Seller (rounded down to the next whole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 collectively, the Conversion Shares and the Issued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following representation and warranty shall be added before Clause 6.1(v) of the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(when issued) shall constitute direct, unconditional and unsubordinated obligations of the Purchaser and will at all times rank pari passu and without any preference or priority among themselves and at least equally with all other present and future direct, unconditional and unsubordinated obligations of the Purchaser other than those preferred by Applicable Laws and except as expressly set forth in this Agreement and the other Transaction Documents. The issue of the Consideration Shares shall not be subject to any pre-emptive or similar rights.”</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following covenant shall be added as Clause 6.8 of the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and after the date hereof and until the Closing, except as expressly set forth in this Agreement and the other Transaction Documents, (i) neither the Purchaser nor any person acting on its behalf will take, directly or indirectly, any action that is designed to cause or result in an adjustment of the initial Conversion Price of the Notes that will impair the economic benefits of the holder of the Notes; and (ii) the Purchaser will not take any action that would reduce the Conversion Price of the Notes below a level that may be prescribed by Applicable Laws from time to time (if 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Further Assurance</w:t>
      </w:r>
      <w:r>
        <w:rPr>
          <w:rFonts w:ascii="Times New Roman" w:cs="Times New Roman" w:eastAsia="Times New Roman" w:hAnsi="Times New Roman"/>
          <w:sz w:val="18"/>
          <w:szCs w:val="18"/>
          <w:color w:val="auto"/>
        </w:rPr>
        <w:t>. The following covenant shall be added as Clause 6.8 of the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any time the number of authorized but unissued Class A Ordinary Shares shall not be sufficient to effect the issue of the Consideration Shares in full, the Purchaser will take such corporate actions as may be necessary to seek further approval from its shareholders to authorize the board of directors of the Purchaser to allot, issue and deal with additional Class A Ordinary Shares to such number of Class A Ordinary Shares as shall be sufficient for such purpose.”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Appendices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right="20" w:hanging="320"/>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Rights Agreement”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Agreement is hereby deleted in its entirety and replaced with the form attached to this Amendment as Exhibit B (</w:t>
      </w:r>
      <w:r>
        <w:rPr>
          <w:rFonts w:ascii="Times New Roman" w:cs="Times New Roman" w:eastAsia="Times New Roman" w:hAnsi="Times New Roman"/>
          <w:sz w:val="18"/>
          <w:szCs w:val="18"/>
          <w:i w:val="1"/>
          <w:iCs w:val="1"/>
          <w:color w:val="auto"/>
        </w:rPr>
        <w:t>New Investor Rights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0" w:hanging="320"/>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“Cloud Mining Services Agreement”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Agreement is hereby deleted in its entirety and replaced with the form attached to this Amendment as Exhibit C (</w:t>
      </w:r>
      <w:r>
        <w:rPr>
          <w:rFonts w:ascii="Times New Roman" w:cs="Times New Roman" w:eastAsia="Times New Roman" w:hAnsi="Times New Roman"/>
          <w:sz w:val="18"/>
          <w:szCs w:val="18"/>
          <w:i w:val="1"/>
          <w:iCs w:val="1"/>
          <w:color w:val="auto"/>
        </w:rPr>
        <w:t>New Cloud Mining Services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Certain Arrangements</w:t>
      </w:r>
      <w:r>
        <w:rPr>
          <w:rFonts w:ascii="Times New Roman" w:cs="Times New Roman" w:eastAsia="Times New Roman" w:hAnsi="Times New Roman"/>
          <w:sz w:val="18"/>
          <w:szCs w:val="18"/>
          <w:color w:val="auto"/>
        </w:rPr>
        <w:t>. The parties acknowledge and agree that:</w:t>
      </w:r>
    </w:p>
    <w:p>
      <w:pPr>
        <w:spacing w:after="0" w:line="225" w:lineRule="exact"/>
        <w:rPr>
          <w:sz w:val="20"/>
          <w:szCs w:val="20"/>
          <w:color w:val="auto"/>
        </w:rPr>
      </w:pPr>
    </w:p>
    <w:p>
      <w:pPr>
        <w:ind w:left="640" w:hanging="320"/>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with respect to the Cloud Mining Services and the Purchased Assets may take place separately, in which event, the relevant provisions in the Agreement should apply to these Closings respectively, </w:t>
      </w:r>
      <w:r>
        <w:rPr>
          <w:rFonts w:ascii="Times New Roman" w:cs="Times New Roman" w:eastAsia="Times New Roman" w:hAnsi="Times New Roman"/>
          <w:sz w:val="18"/>
          <w:szCs w:val="18"/>
          <w:i w:val="1"/>
          <w:iCs w:val="1"/>
          <w:color w:val="auto"/>
        </w:rPr>
        <w:t>mutatis muntandis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640" w:hanging="320"/>
        <w:spacing w:after="0" w:line="25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greater details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Mining Ninjas Kazakh Limited (hereinafter “</w:t>
      </w:r>
      <w:r>
        <w:rPr>
          <w:rFonts w:ascii="Times New Roman" w:cs="Times New Roman" w:eastAsia="Times New Roman" w:hAnsi="Times New Roman"/>
          <w:sz w:val="18"/>
          <w:szCs w:val="18"/>
          <w:u w:val="single" w:color="auto"/>
          <w:color w:val="auto"/>
        </w:rPr>
        <w:t>Mining Ninjas KZ</w:t>
      </w:r>
      <w:r>
        <w:rPr>
          <w:rFonts w:ascii="Times New Roman" w:cs="Times New Roman" w:eastAsia="Times New Roman" w:hAnsi="Times New Roman"/>
          <w:sz w:val="18"/>
          <w:szCs w:val="18"/>
          <w:color w:val="auto"/>
        </w:rPr>
        <w:t>”) and Armada Technologies Kazakhstan Limited (hereinafter “</w:t>
      </w:r>
      <w:r>
        <w:rPr>
          <w:rFonts w:ascii="Times New Roman" w:cs="Times New Roman" w:eastAsia="Times New Roman" w:hAnsi="Times New Roman"/>
          <w:sz w:val="18"/>
          <w:szCs w:val="18"/>
          <w:u w:val="single" w:color="auto"/>
          <w:color w:val="auto"/>
        </w:rPr>
        <w:t>Armada Technologies KZ</w:t>
      </w:r>
      <w:r>
        <w:rPr>
          <w:rFonts w:ascii="Times New Roman" w:cs="Times New Roman" w:eastAsia="Times New Roman" w:hAnsi="Times New Roman"/>
          <w:sz w:val="18"/>
          <w:szCs w:val="18"/>
          <w:color w:val="auto"/>
        </w:rPr>
        <w:t xml:space="preserve">”) shall enter into the KZ SPA, pursuant to which Mining Ninjas KZ shall purchase the relevant machines from Armada Technologies KZ for the agreed sum of KZT1,921,875,041, which consists of KZT1,715,959,858 in the form of KZ Payable, which will be subsequently assigned to Prosperity Oak and KZT205,915,183, which represents value added tax associated with such sale, which remains payable by Mining Ninjas KZ to Armada Technologies KZ. As set forth in greater details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at the Closing, Prosperity Oak will cause the KZ Payable to be transferred to the Purchaser (which shall be deemed as Prosperity Oak, in its capacity as a Seller under the Agreement, having sold, assigned, transferred, conveyed and delivered to the Purchaser the KZ Purchased Assets pursuant to the terms of the Agreement at the Closing), in which event, the Company shall issue the relevant Note as consideration to Prosperity Oak, with the relevant provisions in the Agreement applying, </w:t>
      </w:r>
      <w:r>
        <w:rPr>
          <w:rFonts w:ascii="Times New Roman" w:cs="Times New Roman" w:eastAsia="Times New Roman" w:hAnsi="Times New Roman"/>
          <w:sz w:val="18"/>
          <w:szCs w:val="18"/>
          <w:i w:val="1"/>
          <w:iCs w:val="1"/>
          <w:color w:val="auto"/>
        </w:rPr>
        <w:t>mutatis muntandis</w:t>
      </w:r>
      <w:r>
        <w:rPr>
          <w:rFonts w:ascii="Times New Roman" w:cs="Times New Roman" w:eastAsia="Times New Roman" w:hAnsi="Times New Roman"/>
          <w:sz w:val="18"/>
          <w:szCs w:val="18"/>
          <w:color w:val="auto"/>
        </w:rPr>
        <w:t>. The steps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incorporated by reference herein.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 Other Amendment</w:t>
      </w:r>
      <w:r>
        <w:rPr>
          <w:rFonts w:ascii="Times New Roman" w:cs="Times New Roman" w:eastAsia="Times New Roman" w:hAnsi="Times New Roman"/>
          <w:sz w:val="18"/>
          <w:szCs w:val="18"/>
          <w:color w:val="auto"/>
        </w:rPr>
        <w:t>. The parties hereto hereby confirm that, (a) all references to “this Agreement” in the Agreement and any other Transaction Document shall be deemed to mean the Agreement, as amended by this Amendment, and (b) except as expressly set forth herein, the terms and conditions of the Agreement shall not be or be deemed to be amended, modified or waived by this Amendment and shall continue in full force and effect.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Clause 11 (</w:t>
      </w:r>
      <w:r>
        <w:rPr>
          <w:rFonts w:ascii="Times New Roman" w:cs="Times New Roman" w:eastAsia="Times New Roman" w:hAnsi="Times New Roman"/>
          <w:sz w:val="18"/>
          <w:szCs w:val="18"/>
          <w:i w:val="1"/>
          <w:iCs w:val="1"/>
          <w:color w:val="auto"/>
        </w:rPr>
        <w:t>Confidentiality and Communications</w:t>
      </w:r>
      <w:r>
        <w:rPr>
          <w:rFonts w:ascii="Times New Roman" w:cs="Times New Roman" w:eastAsia="Times New Roman" w:hAnsi="Times New Roman"/>
          <w:sz w:val="18"/>
          <w:szCs w:val="18"/>
          <w:color w:val="auto"/>
        </w:rPr>
        <w:t>), Clause 13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Clause 21 (</w:t>
      </w:r>
      <w:r>
        <w:rPr>
          <w:rFonts w:ascii="Times New Roman" w:cs="Times New Roman" w:eastAsia="Times New Roman" w:hAnsi="Times New Roman"/>
          <w:sz w:val="18"/>
          <w:szCs w:val="18"/>
          <w:i w:val="1"/>
          <w:iCs w:val="1"/>
          <w:color w:val="auto"/>
        </w:rPr>
        <w:t>Governing Law and Dispute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Resolution</w:t>
      </w:r>
      <w:r>
        <w:rPr>
          <w:rFonts w:ascii="Times New Roman" w:cs="Times New Roman" w:eastAsia="Times New Roman" w:hAnsi="Times New Roman"/>
          <w:sz w:val="18"/>
          <w:szCs w:val="18"/>
          <w:color w:val="auto"/>
        </w:rPr>
        <w:t>), Clause 23 (</w:t>
      </w:r>
      <w:r>
        <w:rPr>
          <w:rFonts w:ascii="Times New Roman" w:cs="Times New Roman" w:eastAsia="Times New Roman" w:hAnsi="Times New Roman"/>
          <w:sz w:val="18"/>
          <w:szCs w:val="18"/>
          <w:i w:val="1"/>
          <w:iCs w:val="1"/>
          <w:color w:val="auto"/>
        </w:rPr>
        <w:t>Counterparts and Electronic Signatures</w:t>
      </w:r>
      <w:r>
        <w:rPr>
          <w:rFonts w:ascii="Times New Roman" w:cs="Times New Roman" w:eastAsia="Times New Roman" w:hAnsi="Times New Roman"/>
          <w:sz w:val="18"/>
          <w:szCs w:val="18"/>
          <w:color w:val="auto"/>
        </w:rPr>
        <w:t>) and Clause 24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of the Agreement shall apply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This Amendment shall constitute a Transaction Document for purposes of the Sales and Purchase Agreement and each other Transaction Document. In the event of any conflict between the terms of this Amendment and the terms of the Agreement, the terms of this Amendment shall prevail.</w:t>
      </w:r>
    </w:p>
    <w:p>
      <w:pPr>
        <w:spacing w:after="0" w:line="17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REMAINDER OF PAGE INTENTIONALLY LEFT BLANK **</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8" w:name="page9"/>
    <w:bookmarkEnd w:id="8"/>
    <w:p>
      <w:pPr>
        <w:ind w:left="2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for the Amendment to On-Rack Sales and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a deed as of the date first written above.</w:t>
      </w:r>
    </w:p>
    <w:p>
      <w:pPr>
        <w:spacing w:after="0" w:line="2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Prosperity Oak Holdings Limited</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Signature:/s/ Chang-Wei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tab/>
        <w:t>Chang-Wei Chiu</w:t>
      </w:r>
    </w:p>
    <w:p>
      <w:pPr>
        <w:spacing w:after="0" w:line="23"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6" w:right="1440" w:bottom="1440" w:gutter="0" w:footer="0" w:header="0"/>
        </w:sectPr>
      </w:pPr>
    </w:p>
    <w:bookmarkStart w:id="9" w:name="page10"/>
    <w:bookmarkEnd w:id="9"/>
    <w:p>
      <w:pPr>
        <w:ind w:left="2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for the Amendment to On-Rack Sales and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a deed as of the date first written above.</w:t>
      </w:r>
    </w:p>
    <w:p>
      <w:pPr>
        <w:spacing w:after="0" w:line="2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Apex Cyber Capital Limited</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Signature:/s/ KEE WEE KIANG, KENNETH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tab/>
        <w:t>KEE WEE KIANG, KENNETH</w:t>
      </w:r>
    </w:p>
    <w:p>
      <w:pPr>
        <w:spacing w:after="0" w:line="23"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9" w:right="1440" w:bottom="1440" w:gutter="0" w:footer="0" w:header="0"/>
        </w:sectPr>
      </w:pPr>
    </w:p>
    <w:bookmarkStart w:id="10" w:name="page11"/>
    <w:bookmarkEnd w:id="10"/>
    <w:p>
      <w:pPr>
        <w:ind w:left="2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for the Amendment to On-Rack Sales and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a deed as of the date first written above.</w:t>
      </w:r>
    </w:p>
    <w:p>
      <w:pPr>
        <w:spacing w:after="0" w:line="2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Noveau Jumpstar Limited</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Signature:/s/ Sheng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tab/>
        <w:t>Sheng JIANG</w:t>
      </w:r>
    </w:p>
    <w:p>
      <w:pPr>
        <w:spacing w:after="0" w:line="23"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59" w:right="1440" w:bottom="1440" w:gutter="0" w:footer="0" w:header="0"/>
        </w:sectPr>
      </w:pPr>
    </w:p>
    <w:bookmarkStart w:id="11" w:name="page12"/>
    <w:bookmarkEnd w:id="11"/>
    <w:p>
      <w:pPr>
        <w:ind w:left="2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for the Amendment to On-Rack Sales and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a deed as of the date first written above.</w:t>
      </w:r>
    </w:p>
    <w:p>
      <w:pPr>
        <w:spacing w:after="0" w:line="23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Signature:/s/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tab/>
        <w:t>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31629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 w:lineRule="exact"/>
        <w:rPr>
          <w:sz w:val="20"/>
          <w:szCs w:val="20"/>
          <w:color w:val="auto"/>
        </w:rPr>
      </w:pPr>
    </w:p>
    <w:p>
      <w:pPr>
        <w:ind w:left="552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31629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629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9"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Kazakhstan Transaction Steps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1. Sale and Purchase Agreement and Pledge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1.1 Armada Technologies Kazakhstan Limited (“</w:t>
      </w:r>
      <w:r>
        <w:rPr>
          <w:rFonts w:ascii="Times New Roman" w:cs="Times New Roman" w:eastAsia="Times New Roman" w:hAnsi="Times New Roman"/>
          <w:sz w:val="18"/>
          <w:szCs w:val="18"/>
          <w:b w:val="1"/>
          <w:bCs w:val="1"/>
          <w:color w:val="auto"/>
        </w:rPr>
        <w:t>Armada Technologies KZ”)</w:t>
      </w:r>
      <w:r>
        <w:rPr>
          <w:rFonts w:ascii="Times New Roman" w:cs="Times New Roman" w:eastAsia="Times New Roman" w:hAnsi="Times New Roman"/>
          <w:sz w:val="18"/>
          <w:szCs w:val="18"/>
          <w:color w:val="auto"/>
        </w:rPr>
        <w:t xml:space="preserve"> and Mining Ninjas Kazakh Limited (“</w:t>
      </w:r>
      <w:r>
        <w:rPr>
          <w:rFonts w:ascii="Times New Roman" w:cs="Times New Roman" w:eastAsia="Times New Roman" w:hAnsi="Times New Roman"/>
          <w:sz w:val="18"/>
          <w:szCs w:val="18"/>
          <w:b w:val="1"/>
          <w:bCs w:val="1"/>
          <w:color w:val="auto"/>
        </w:rPr>
        <w:t>Mining Ninjas KZ</w:t>
      </w:r>
      <w:r>
        <w:rPr>
          <w:rFonts w:ascii="Times New Roman" w:cs="Times New Roman" w:eastAsia="Times New Roman" w:hAnsi="Times New Roman"/>
          <w:sz w:val="18"/>
          <w:szCs w:val="18"/>
          <w:color w:val="auto"/>
        </w:rPr>
        <w:t>”) has entered into a Sale and Purchase Agreement (“</w:t>
      </w:r>
      <w:r>
        <w:rPr>
          <w:rFonts w:ascii="Times New Roman" w:cs="Times New Roman" w:eastAsia="Times New Roman" w:hAnsi="Times New Roman"/>
          <w:sz w:val="18"/>
          <w:szCs w:val="18"/>
          <w:b w:val="1"/>
          <w:bCs w:val="1"/>
          <w:color w:val="auto"/>
        </w:rPr>
        <w:t>KZ SPA</w:t>
      </w:r>
      <w:r>
        <w:rPr>
          <w:rFonts w:ascii="Times New Roman" w:cs="Times New Roman" w:eastAsia="Times New Roman" w:hAnsi="Times New Roman"/>
          <w:sz w:val="18"/>
          <w:szCs w:val="18"/>
          <w:color w:val="auto"/>
        </w:rPr>
        <w:t xml:space="preserve">”) in respect of </w:t>
      </w:r>
      <w:r>
        <w:rPr>
          <w:rFonts w:ascii="Times New Roman" w:cs="Times New Roman" w:eastAsia="Times New Roman" w:hAnsi="Times New Roman"/>
          <w:sz w:val="18"/>
          <w:szCs w:val="18"/>
          <w:color w:val="auto"/>
          <w:highlight w:val="black"/>
        </w:rPr>
        <w:t>15,628</w:t>
      </w:r>
      <w:r>
        <w:rPr>
          <w:rFonts w:ascii="Times New Roman" w:cs="Times New Roman" w:eastAsia="Times New Roman" w:hAnsi="Times New Roman"/>
          <w:sz w:val="18"/>
          <w:szCs w:val="18"/>
          <w:color w:val="auto"/>
        </w:rPr>
        <w:t xml:space="preserve"> pieces of HASH Super Computing Server (Model S19XP, S19 JXP) (the “</w:t>
      </w:r>
      <w:r>
        <w:rPr>
          <w:rFonts w:ascii="Times New Roman" w:cs="Times New Roman" w:eastAsia="Times New Roman" w:hAnsi="Times New Roman"/>
          <w:sz w:val="18"/>
          <w:szCs w:val="18"/>
          <w:b w:val="1"/>
          <w:bCs w:val="1"/>
          <w:color w:val="auto"/>
        </w:rPr>
        <w:t>KZ 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pursuant to which Mining Ninjas KZ shall pay to Armada Technologies KZ a consideration of KZT1,715,959,858 (exclusive of 12% value-added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(the “</w:t>
      </w:r>
      <w:r>
        <w:rPr>
          <w:rFonts w:ascii="Times New Roman" w:cs="Times New Roman" w:eastAsia="Times New Roman" w:hAnsi="Times New Roman"/>
          <w:sz w:val="18"/>
          <w:szCs w:val="18"/>
          <w:b w:val="1"/>
          <w:bCs w:val="1"/>
          <w:color w:val="auto"/>
        </w:rPr>
        <w:t>KZ Payable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1.2. Armada Technologies KZ and Mining Ninjas have included in the KZ SPA pledge provisions (the “</w:t>
      </w:r>
      <w:r>
        <w:rPr>
          <w:rFonts w:ascii="Times New Roman" w:cs="Times New Roman" w:eastAsia="Times New Roman" w:hAnsi="Times New Roman"/>
          <w:sz w:val="18"/>
          <w:szCs w:val="18"/>
          <w:b w:val="1"/>
          <w:bCs w:val="1"/>
          <w:color w:val="auto"/>
        </w:rPr>
        <w:t>KZ Pledge</w:t>
      </w:r>
      <w:r>
        <w:rPr>
          <w:rFonts w:ascii="Times New Roman" w:cs="Times New Roman" w:eastAsia="Times New Roman" w:hAnsi="Times New Roman"/>
          <w:sz w:val="18"/>
          <w:szCs w:val="18"/>
          <w:color w:val="auto"/>
        </w:rPr>
        <w:t>”), pursuant to which the obligations of Mining Ninjas KZ under the KZ SPA to pay the KZ Payable is secured by a first priority pledge over the KZ Purchased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2. Assignment of the Claim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 Pursuant to and as permitted under the terms of the KZ SPA, Armada Technologies KZ will assign all its rights and obligations under the KZ SPA, including the KZ Payable, to Prosperity Oak Holdings Limited (“</w:t>
      </w:r>
      <w:r>
        <w:rPr>
          <w:rFonts w:ascii="Times New Roman" w:cs="Times New Roman" w:eastAsia="Times New Roman" w:hAnsi="Times New Roman"/>
          <w:sz w:val="18"/>
          <w:szCs w:val="18"/>
          <w:b w:val="1"/>
          <w:bCs w:val="1"/>
          <w:color w:val="auto"/>
        </w:rPr>
        <w:t>Prosperity Oak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In connection with such assignment of the KZ Payable, the KZ Pledge will be assigned to and become in favor of Prosperity Oak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3. Issuance of Convertible Bonds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3.1. At the Closing, Prosperity Oak will assign all its rights and obligations under (i) the KZ SPA, including the KZ Payable, to NIP Group Inc.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such assignment, the “</w:t>
      </w:r>
      <w:r>
        <w:rPr>
          <w:rFonts w:ascii="Times New Roman" w:cs="Times New Roman" w:eastAsia="Times New Roman" w:hAnsi="Times New Roman"/>
          <w:sz w:val="18"/>
          <w:szCs w:val="18"/>
          <w:b w:val="1"/>
          <w:bCs w:val="1"/>
          <w:color w:val="auto"/>
        </w:rPr>
        <w:t>Closing KZ Assignment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3.2 The Closing KZ Assignment shall be deemed as Prosperity Oak, in its capacity as a Seller under the Agreement, having sold, assigned, transferred, conveyed and delivered to the Purchaser the KZ Purchased Assets pursuant to the terms of the Agreement at the Closing, and, in exchange therefore, the Purchaser shall issue a Note (such Note, the “</w:t>
      </w:r>
      <w:r>
        <w:rPr>
          <w:rFonts w:ascii="Times New Roman" w:cs="Times New Roman" w:eastAsia="Times New Roman" w:hAnsi="Times New Roman"/>
          <w:sz w:val="18"/>
          <w:szCs w:val="18"/>
          <w:b w:val="1"/>
          <w:bCs w:val="1"/>
          <w:color w:val="auto"/>
        </w:rPr>
        <w:t>KZ Note</w:t>
      </w:r>
      <w:r>
        <w:rPr>
          <w:rFonts w:ascii="Times New Roman" w:cs="Times New Roman" w:eastAsia="Times New Roman" w:hAnsi="Times New Roman"/>
          <w:sz w:val="18"/>
          <w:szCs w:val="18"/>
          <w:color w:val="auto"/>
        </w:rPr>
        <w:t>”) in an aggregate principal amount of the Product Purchase Price of the KZ Purchased Assets, pursuant to the terms of the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3.3. For the purposes of implementing the Closing KZ Assignment referred to in Clauses 3.1 and 3.2 above, Prosperity Oak shall enter into an assignment of claim agreement pursuant to which it agrees to assign its rights and claims under the KZ SPA, including the KZ Payable, to NIP Group Inc. (the “Conditional KZ Assignment”), such assignment being subject to a condition precedent that the Purchaser issues the relevant convertible bonds / note (the “KZ Note”) within forty-five (45) days.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issuance of the KZ Note within such 45-day period, the condition precedent shall be deemed satisfied and the Conditional KZ Assignment shall automatically become effective, and all rights and claims of Prosperity Oak under the KZ SPA, including the KZ Payable and any related security interests, shall be deemed transferred to NIP Group Inc. as contemplated by Clauses 3.1 and 3.2.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KZ Note is not issued within such 45-day period, the condition precedent shall not be satisfied, the Conditional KZ Assignment shall not become effective, and Prosperity Oak shall retain all its rights and claims under the KZ SPA.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3.4. If the KZ Note is not issued within 45 days after the date of the KZ SPA, the transaction under the KZ SPA may be rewound at the election of Armada Technologies KZ pursuant to the terms of the KZ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Cloud Mining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6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2026-01-15T08:04:23Z</dcterms:created>
  <dcterms:modified xsi:type="dcterms:W3CDTF">2026-01-15T08:04:23Z</dcterms:modified>
</cp:coreProperties>
</file>