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June 12, 2024</w:t>
      </w:r>
    </w:p>
    <w:p>
      <w:pPr>
        <w:spacing w:after="0" w:line="44" w:lineRule="exact"/>
        <w:rPr>
          <w:sz w:val="24"/>
          <w:szCs w:val="24"/>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5"/>
          <w:szCs w:val="15"/>
          <w:b w:val="1"/>
          <w:bCs w:val="1"/>
          <w:color w:val="auto"/>
        </w:rPr>
        <w:t>Registration No. 333-</w:t>
      </w:r>
      <w:r>
        <w:rPr>
          <w:sz w:val="20"/>
          <w:szCs w:val="20"/>
          <w:color w:val="auto"/>
        </w:rPr>
        <w:tab/>
      </w:r>
      <w:r>
        <w:rPr>
          <w:rFonts w:ascii="Times New Roman" w:cs="Times New Roman" w:eastAsia="Times New Roman" w:hAnsi="Times New Roman"/>
          <w:sz w:val="15"/>
          <w:szCs w:val="15"/>
          <w:b w:val="1"/>
          <w:bCs w:val="1"/>
          <w:color w:val="auto"/>
        </w:rPr>
        <w:t>​</w:t>
      </w:r>
    </w:p>
    <w:p>
      <w:pPr>
        <w:spacing w:after="0" w:line="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-180975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105410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F-1</w:t>
      </w:r>
    </w:p>
    <w:p>
      <w:pPr>
        <w:spacing w:after="0" w:line="4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jc w:val="center"/>
        <w:ind w:right="-419"/>
        <w:spacing w:after="0" w:line="234" w:lineRule="auto"/>
        <w:rPr>
          <w:sz w:val="20"/>
          <w:szCs w:val="20"/>
          <w:color w:val="auto"/>
        </w:rPr>
      </w:pPr>
      <w:r>
        <w:rPr>
          <w:rFonts w:ascii="Times New Roman" w:cs="Times New Roman" w:eastAsia="Times New Roman" w:hAnsi="Times New Roman"/>
          <w:sz w:val="15"/>
          <w:szCs w:val="15"/>
          <w:b w:val="1"/>
          <w:b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62865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NIP Group Inc.</w:t>
      </w:r>
    </w:p>
    <w:p>
      <w:pPr>
        <w:spacing w:after="0" w:line="4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1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73660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Pr>
          <w:p>
            <w:pPr>
              <w:ind w:left="700"/>
              <w:spacing w:after="0"/>
              <w:rPr>
                <w:sz w:val="20"/>
                <w:szCs w:val="20"/>
                <w:color w:val="auto"/>
              </w:rPr>
            </w:pPr>
            <w:r>
              <w:rPr>
                <w:rFonts w:ascii="Times New Roman" w:cs="Times New Roman" w:eastAsia="Times New Roman" w:hAnsi="Times New Roman"/>
                <w:sz w:val="15"/>
                <w:szCs w:val="15"/>
                <w:b w:val="1"/>
                <w:bCs w:val="1"/>
                <w:color w:val="auto"/>
              </w:rPr>
              <w:t>Cayman Islands</w:t>
            </w: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480" w:type="dxa"/>
            <w:vAlign w:val="bottom"/>
          </w:tcPr>
          <w:p>
            <w:pPr>
              <w:jc w:val="right"/>
              <w:ind w:right="1047"/>
              <w:spacing w:after="0"/>
              <w:rPr>
                <w:sz w:val="20"/>
                <w:szCs w:val="20"/>
                <w:color w:val="auto"/>
              </w:rPr>
            </w:pPr>
            <w:r>
              <w:rPr>
                <w:rFonts w:ascii="Times New Roman" w:cs="Times New Roman" w:eastAsia="Times New Roman" w:hAnsi="Times New Roman"/>
                <w:sz w:val="15"/>
                <w:szCs w:val="15"/>
                <w:b w:val="1"/>
                <w:bCs w:val="1"/>
                <w:color w:val="auto"/>
              </w:rPr>
              <w:t>7389</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Not Applicable</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4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820" w:type="dxa"/>
            <w:vAlign w:val="bottom"/>
          </w:tcPr>
          <w:p>
            <w:pPr>
              <w:spacing w:after="0"/>
              <w:rPr>
                <w:sz w:val="15"/>
                <w:szCs w:val="15"/>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920" w:type="dxa"/>
            <w:vAlign w:val="bottom"/>
          </w:tcPr>
          <w:p>
            <w:pPr>
              <w:spacing w:after="0"/>
              <w:rPr>
                <w:sz w:val="15"/>
                <w:szCs w:val="15"/>
                <w:color w:val="auto"/>
              </w:rPr>
            </w:pPr>
          </w:p>
        </w:tc>
        <w:tc>
          <w:tcPr>
            <w:tcW w:w="22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(I.R.S. Employer</w:t>
            </w:r>
          </w:p>
        </w:tc>
        <w:tc>
          <w:tcPr>
            <w:tcW w:w="480" w:type="dxa"/>
            <w:vAlign w:val="bottom"/>
          </w:tcPr>
          <w:p>
            <w:pPr>
              <w:spacing w:after="0"/>
              <w:rPr>
                <w:sz w:val="15"/>
                <w:szCs w:val="15"/>
                <w:color w:val="auto"/>
              </w:rPr>
            </w:pPr>
          </w:p>
        </w:tc>
      </w:tr>
      <w:tr>
        <w:trPr>
          <w:trHeight w:val="204"/>
        </w:trPr>
        <w:tc>
          <w:tcPr>
            <w:tcW w:w="340" w:type="dxa"/>
            <w:vAlign w:val="bottom"/>
          </w:tcPr>
          <w:p>
            <w:pPr>
              <w:spacing w:after="0"/>
              <w:rPr>
                <w:sz w:val="17"/>
                <w:szCs w:val="17"/>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Classification Code Number)</w:t>
            </w:r>
            <w:r>
              <w:rPr>
                <w:rFonts w:ascii="Times New Roman" w:cs="Times New Roman" w:eastAsia="Times New Roman" w:hAnsi="Times New Roman"/>
                <w:sz w:val="15"/>
                <w:szCs w:val="15"/>
                <w:color w:val="auto"/>
              </w:rPr>
              <w:t>​</w:t>
            </w:r>
          </w:p>
        </w:tc>
        <w:tc>
          <w:tcPr>
            <w:tcW w:w="9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480" w:type="dxa"/>
            <w:vAlign w:val="bottom"/>
          </w:tcPr>
          <w:p>
            <w:pPr>
              <w:spacing w:after="0"/>
              <w:rPr>
                <w:sz w:val="17"/>
                <w:szCs w:val="17"/>
                <w:color w:val="auto"/>
              </w:rPr>
            </w:pPr>
          </w:p>
        </w:tc>
      </w:tr>
    </w:tbl>
    <w:p>
      <w:pPr>
        <w:spacing w:after="0" w:line="12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Rosenlundsgatan 31</w:t>
      </w: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11 863 Stockholm</w:t>
      </w:r>
    </w:p>
    <w:p>
      <w:pPr>
        <w:ind w:left="5100"/>
        <w:spacing w:after="0" w:line="225" w:lineRule="auto"/>
        <w:rPr>
          <w:sz w:val="20"/>
          <w:szCs w:val="20"/>
          <w:color w:val="auto"/>
        </w:rPr>
      </w:pPr>
      <w:r>
        <w:rPr>
          <w:rFonts w:ascii="Times New Roman" w:cs="Times New Roman" w:eastAsia="Times New Roman" w:hAnsi="Times New Roman"/>
          <w:sz w:val="15"/>
          <w:szCs w:val="15"/>
          <w:b w:val="1"/>
          <w:bCs w:val="1"/>
          <w:color w:val="auto"/>
        </w:rPr>
        <w:t>Sweden</w:t>
      </w:r>
    </w:p>
    <w:p>
      <w:pPr>
        <w:ind w:left="4900"/>
        <w:spacing w:after="0" w:line="218" w:lineRule="auto"/>
        <w:rPr>
          <w:sz w:val="20"/>
          <w:szCs w:val="20"/>
          <w:color w:val="auto"/>
        </w:rPr>
      </w:pPr>
      <w:r>
        <w:rPr>
          <w:rFonts w:ascii="Times New Roman" w:cs="Times New Roman" w:eastAsia="Times New Roman" w:hAnsi="Times New Roman"/>
          <w:sz w:val="15"/>
          <w:szCs w:val="15"/>
          <w:b w:val="1"/>
          <w:bCs w:val="1"/>
          <w:color w:val="auto"/>
        </w:rPr>
        <w:t>+46 705775564</w:t>
      </w:r>
    </w:p>
    <w:p>
      <w:pPr>
        <w:ind w:left="184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38" w:lineRule="exact"/>
        <w:rPr>
          <w:sz w:val="24"/>
          <w:szCs w:val="24"/>
          <w:color w:val="auto"/>
        </w:rPr>
      </w:pPr>
    </w:p>
    <w:tbl>
      <w:tblPr>
        <w:tblLayout w:type="fixed"/>
        <w:tblInd w:w="500" w:type="dxa"/>
        <w:tblCellMar>
          <w:top w:w="0" w:type="dxa"/>
          <w:left w:w="0" w:type="dxa"/>
          <w:bottom w:w="0" w:type="dxa"/>
          <w:right w:w="0" w:type="dxa"/>
        </w:tblCellMar>
      </w:tblPr>
      <w:tr>
        <w:trPr>
          <w:trHeight w:val="172"/>
        </w:trPr>
        <w:tc>
          <w:tcPr>
            <w:tcW w:w="7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Cogency Global Inc.</w:t>
            </w:r>
          </w:p>
        </w:tc>
        <w:tc>
          <w:tcPr>
            <w:tcW w:w="3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1"/>
        </w:trPr>
        <w:tc>
          <w:tcPr>
            <w:tcW w:w="720" w:type="dxa"/>
            <w:vAlign w:val="bottom"/>
          </w:tcPr>
          <w:p>
            <w:pPr>
              <w:spacing w:after="0"/>
              <w:rPr>
                <w:sz w:val="15"/>
                <w:szCs w:val="15"/>
                <w:color w:val="auto"/>
              </w:rPr>
            </w:pPr>
          </w:p>
        </w:tc>
        <w:tc>
          <w:tcPr>
            <w:tcW w:w="4020" w:type="dxa"/>
            <w:vAlign w:val="bottom"/>
            <w:gridSpan w:val="2"/>
          </w:tcPr>
          <w:p>
            <w:pPr>
              <w:ind w:left="3160"/>
              <w:spacing w:after="0" w:line="182" w:lineRule="exact"/>
              <w:rPr>
                <w:sz w:val="20"/>
                <w:szCs w:val="20"/>
                <w:color w:val="auto"/>
              </w:rPr>
            </w:pPr>
            <w:r>
              <w:rPr>
                <w:rFonts w:ascii="Times New Roman" w:cs="Times New Roman" w:eastAsia="Times New Roman" w:hAnsi="Times New Roman"/>
                <w:sz w:val="14"/>
                <w:szCs w:val="14"/>
                <w:b w:val="1"/>
                <w:bCs w:val="1"/>
                <w:color w:val="auto"/>
                <w:w w:val="99"/>
              </w:rPr>
              <w:t>122 East 42</w:t>
            </w:r>
            <w:r>
              <w:rPr>
                <w:rFonts w:ascii="Times New Roman" w:cs="Times New Roman" w:eastAsia="Times New Roman" w:hAnsi="Times New Roman"/>
                <w:sz w:val="21"/>
                <w:szCs w:val="21"/>
                <w:b w:val="1"/>
                <w:bCs w:val="1"/>
                <w:color w:val="auto"/>
                <w:w w:val="99"/>
                <w:vertAlign w:val="superscript"/>
              </w:rPr>
              <w:t>nd</w:t>
            </w:r>
          </w:p>
        </w:tc>
        <w:tc>
          <w:tcPr>
            <w:tcW w:w="110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b w:val="1"/>
                <w:bCs w:val="1"/>
                <w:color w:val="auto"/>
              </w:rPr>
              <w:t>Street,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3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5"/>
              </w:rPr>
              <w:t>New York, NY 10168</w:t>
            </w:r>
          </w:p>
        </w:tc>
        <w:tc>
          <w:tcPr>
            <w:tcW w:w="3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4"/>
        </w:trPr>
        <w:tc>
          <w:tcPr>
            <w:tcW w:w="720" w:type="dxa"/>
            <w:vAlign w:val="bottom"/>
          </w:tcPr>
          <w:p>
            <w:pPr>
              <w:spacing w:after="0"/>
              <w:rPr>
                <w:sz w:val="15"/>
                <w:szCs w:val="15"/>
                <w:color w:val="auto"/>
              </w:rPr>
            </w:pPr>
          </w:p>
        </w:tc>
        <w:tc>
          <w:tcPr>
            <w:tcW w:w="5120" w:type="dxa"/>
            <w:vAlign w:val="bottom"/>
            <w:gridSpan w:val="3"/>
          </w:tcPr>
          <w:p>
            <w:pPr>
              <w:jc w:val="center"/>
              <w:ind w:left="3091"/>
              <w:spacing w:after="0"/>
              <w:rPr>
                <w:sz w:val="20"/>
                <w:szCs w:val="20"/>
                <w:color w:val="auto"/>
              </w:rPr>
            </w:pPr>
            <w:r>
              <w:rPr>
                <w:rFonts w:ascii="Times New Roman" w:cs="Times New Roman" w:eastAsia="Times New Roman" w:hAnsi="Times New Roman"/>
                <w:sz w:val="15"/>
                <w:szCs w:val="15"/>
                <w:b w:val="1"/>
                <w:bCs w:val="1"/>
                <w:color w:val="auto"/>
                <w:w w:val="98"/>
              </w:rPr>
              <w:t>(212) 947-7200</w:t>
            </w:r>
          </w:p>
        </w:tc>
        <w:tc>
          <w:tcPr>
            <w:tcW w:w="3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8"/>
        </w:trPr>
        <w:tc>
          <w:tcPr>
            <w:tcW w:w="720" w:type="dxa"/>
            <w:vAlign w:val="bottom"/>
          </w:tcPr>
          <w:p>
            <w:pPr>
              <w:spacing w:after="0"/>
              <w:rPr>
                <w:sz w:val="16"/>
                <w:szCs w:val="16"/>
                <w:color w:val="auto"/>
              </w:rPr>
            </w:pPr>
          </w:p>
        </w:tc>
        <w:tc>
          <w:tcPr>
            <w:tcW w:w="838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tc>
        <w:tc>
          <w:tcPr>
            <w:tcW w:w="660" w:type="dxa"/>
            <w:vAlign w:val="bottom"/>
          </w:tcPr>
          <w:p>
            <w:pPr>
              <w:spacing w:after="0"/>
              <w:rPr>
                <w:sz w:val="16"/>
                <w:szCs w:val="16"/>
                <w:color w:val="auto"/>
              </w:rPr>
            </w:pPr>
          </w:p>
        </w:tc>
      </w:tr>
      <w:tr>
        <w:trPr>
          <w:trHeight w:val="105"/>
        </w:trPr>
        <w:tc>
          <w:tcPr>
            <w:tcW w:w="7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940" w:type="dxa"/>
            <w:vAlign w:val="bottom"/>
            <w:tcBorders>
              <w:bottom w:val="single" w:sz="8" w:color="auto"/>
            </w:tcBorders>
            <w:gridSpan w:val="2"/>
          </w:tcPr>
          <w:p>
            <w:pPr>
              <w:spacing w:after="0"/>
              <w:rPr>
                <w:sz w:val="9"/>
                <w:szCs w:val="9"/>
                <w:color w:val="auto"/>
              </w:rPr>
            </w:pPr>
          </w:p>
        </w:tc>
        <w:tc>
          <w:tcPr>
            <w:tcW w:w="32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28"/>
        </w:trPr>
        <w:tc>
          <w:tcPr>
            <w:tcW w:w="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Copies to:</w:t>
            </w:r>
          </w:p>
        </w:tc>
        <w:tc>
          <w:tcPr>
            <w:tcW w:w="3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4"/>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8"/>
              </w:rPr>
              <w:t>Steve Lin, Esq.</w:t>
            </w:r>
          </w:p>
        </w:tc>
        <w:tc>
          <w:tcPr>
            <w:tcW w:w="1100" w:type="dxa"/>
            <w:vAlign w:val="bottom"/>
          </w:tcPr>
          <w:p>
            <w:pPr>
              <w:jc w:val="center"/>
              <w:ind w:right="771"/>
              <w:spacing w:after="0"/>
              <w:rPr>
                <w:sz w:val="20"/>
                <w:szCs w:val="20"/>
                <w:color w:val="auto"/>
              </w:rPr>
            </w:pPr>
            <w:r>
              <w:rPr>
                <w:rFonts w:ascii="Times New Roman" w:cs="Times New Roman" w:eastAsia="Times New Roman" w:hAnsi="Times New Roman"/>
                <w:sz w:val="13"/>
                <w:szCs w:val="13"/>
                <w:b w:val="1"/>
                <w:bCs w:val="1"/>
                <w:color w:val="auto"/>
              </w:rPr>
              <w:t>​</w:t>
            </w: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7"/>
              </w:rPr>
              <w:t>Yuting Wu, Esq.</w:t>
            </w:r>
          </w:p>
        </w:tc>
        <w:tc>
          <w:tcPr>
            <w:tcW w:w="6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2"/>
        </w:trPr>
        <w:tc>
          <w:tcPr>
            <w:tcW w:w="720" w:type="dxa"/>
            <w:vAlign w:val="bottom"/>
          </w:tcPr>
          <w:p>
            <w:pPr>
              <w:spacing w:after="0"/>
              <w:rPr>
                <w:sz w:val="14"/>
                <w:szCs w:val="14"/>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8"/>
              </w:rPr>
              <w:t>Justin You Zhou, Esq.</w:t>
            </w:r>
          </w:p>
        </w:tc>
        <w:tc>
          <w:tcPr>
            <w:tcW w:w="1100" w:type="dxa"/>
            <w:vAlign w:val="bottom"/>
          </w:tcPr>
          <w:p>
            <w:pPr>
              <w:spacing w:after="0"/>
              <w:rPr>
                <w:sz w:val="14"/>
                <w:szCs w:val="14"/>
                <w:color w:val="auto"/>
              </w:rPr>
            </w:pP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9"/>
              </w:rPr>
              <w:t>Skadden, Arps, Slate, Meagher &amp; Flom LLP</w:t>
            </w:r>
          </w:p>
        </w:tc>
        <w:tc>
          <w:tcPr>
            <w:tcW w:w="66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9"/>
              </w:rPr>
              <w:t>Kirkland &amp; Ellis International LLP</w:t>
            </w:r>
          </w:p>
        </w:tc>
        <w:tc>
          <w:tcPr>
            <w:tcW w:w="1100" w:type="dxa"/>
            <w:vAlign w:val="bottom"/>
          </w:tcPr>
          <w:p>
            <w:pPr>
              <w:spacing w:after="0"/>
              <w:rPr>
                <w:sz w:val="14"/>
                <w:szCs w:val="14"/>
                <w:color w:val="auto"/>
              </w:rPr>
            </w:pP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8"/>
              </w:rPr>
              <w:t>46/F, Tower II, Jing An Kerry Centre</w:t>
            </w:r>
          </w:p>
        </w:tc>
        <w:tc>
          <w:tcPr>
            <w:tcW w:w="66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7"/>
              </w:rPr>
              <w:t>58th Floor, China World Tower A</w:t>
            </w:r>
          </w:p>
        </w:tc>
        <w:tc>
          <w:tcPr>
            <w:tcW w:w="1100" w:type="dxa"/>
            <w:vAlign w:val="bottom"/>
          </w:tcPr>
          <w:p>
            <w:pPr>
              <w:spacing w:after="0"/>
              <w:rPr>
                <w:sz w:val="14"/>
                <w:szCs w:val="14"/>
                <w:color w:val="auto"/>
              </w:rPr>
            </w:pP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9"/>
              </w:rPr>
              <w:t>1539 Nanjing West Road</w:t>
            </w:r>
          </w:p>
        </w:tc>
        <w:tc>
          <w:tcPr>
            <w:tcW w:w="66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9"/>
              </w:rPr>
              <w:t>No. 1 Jian Guo Men Wai Avenue</w:t>
            </w:r>
          </w:p>
        </w:tc>
        <w:tc>
          <w:tcPr>
            <w:tcW w:w="1100" w:type="dxa"/>
            <w:vAlign w:val="bottom"/>
          </w:tcPr>
          <w:p>
            <w:pPr>
              <w:spacing w:after="0"/>
              <w:rPr>
                <w:sz w:val="14"/>
                <w:szCs w:val="14"/>
                <w:color w:val="auto"/>
              </w:rPr>
            </w:pP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9"/>
              </w:rPr>
              <w:t>Shanghai 200040</w:t>
            </w:r>
          </w:p>
        </w:tc>
        <w:tc>
          <w:tcPr>
            <w:tcW w:w="66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rPr>
              <w:t>Chaoyang District, Beijing 100004</w:t>
            </w:r>
          </w:p>
        </w:tc>
        <w:tc>
          <w:tcPr>
            <w:tcW w:w="1100" w:type="dxa"/>
            <w:vAlign w:val="bottom"/>
          </w:tcPr>
          <w:p>
            <w:pPr>
              <w:spacing w:after="0"/>
              <w:rPr>
                <w:sz w:val="14"/>
                <w:szCs w:val="14"/>
                <w:color w:val="auto"/>
              </w:rPr>
            </w:pPr>
          </w:p>
        </w:tc>
        <w:tc>
          <w:tcPr>
            <w:tcW w:w="3260" w:type="dxa"/>
            <w:vAlign w:val="bottom"/>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9"/>
              </w:rPr>
              <w:t>People’s Republic of China</w:t>
            </w:r>
          </w:p>
        </w:tc>
        <w:tc>
          <w:tcPr>
            <w:tcW w:w="660" w:type="dxa"/>
            <w:vAlign w:val="bottom"/>
          </w:tcPr>
          <w:p>
            <w:pPr>
              <w:spacing w:after="0"/>
              <w:rPr>
                <w:sz w:val="14"/>
                <w:szCs w:val="14"/>
                <w:color w:val="auto"/>
              </w:rPr>
            </w:pPr>
          </w:p>
        </w:tc>
      </w:tr>
      <w:tr>
        <w:trPr>
          <w:trHeight w:val="178"/>
        </w:trPr>
        <w:tc>
          <w:tcPr>
            <w:tcW w:w="720" w:type="dxa"/>
            <w:vAlign w:val="bottom"/>
          </w:tcPr>
          <w:p>
            <w:pPr>
              <w:spacing w:after="0"/>
              <w:rPr>
                <w:sz w:val="15"/>
                <w:szCs w:val="15"/>
                <w:color w:val="auto"/>
              </w:rPr>
            </w:pPr>
          </w:p>
        </w:tc>
        <w:tc>
          <w:tcPr>
            <w:tcW w:w="4020" w:type="dxa"/>
            <w:vAlign w:val="bottom"/>
            <w:gridSpan w:val="2"/>
          </w:tcPr>
          <w:p>
            <w:pPr>
              <w:jc w:val="center"/>
              <w:ind w:right="564"/>
              <w:spacing w:after="0"/>
              <w:rPr>
                <w:sz w:val="20"/>
                <w:szCs w:val="20"/>
                <w:color w:val="auto"/>
              </w:rPr>
            </w:pPr>
            <w:r>
              <w:rPr>
                <w:rFonts w:ascii="Times New Roman" w:cs="Times New Roman" w:eastAsia="Times New Roman" w:hAnsi="Times New Roman"/>
                <w:sz w:val="13"/>
                <w:szCs w:val="13"/>
                <w:b w:val="1"/>
                <w:bCs w:val="1"/>
                <w:color w:val="auto"/>
                <w:w w:val="99"/>
              </w:rPr>
              <w:t>People’s Republic of China</w:t>
            </w:r>
          </w:p>
        </w:tc>
        <w:tc>
          <w:tcPr>
            <w:tcW w:w="1100" w:type="dxa"/>
            <w:vAlign w:val="bottom"/>
          </w:tcPr>
          <w:p>
            <w:pPr>
              <w:spacing w:after="0"/>
              <w:rPr>
                <w:sz w:val="15"/>
                <w:szCs w:val="15"/>
                <w:color w:val="auto"/>
              </w:rPr>
            </w:pPr>
          </w:p>
        </w:tc>
        <w:tc>
          <w:tcPr>
            <w:tcW w:w="3260" w:type="dxa"/>
            <w:vAlign w:val="bottom"/>
          </w:tcPr>
          <w:p>
            <w:pPr>
              <w:jc w:val="center"/>
              <w:ind w:right="313"/>
              <w:spacing w:after="0"/>
              <w:rPr>
                <w:sz w:val="20"/>
                <w:szCs w:val="20"/>
                <w:color w:val="auto"/>
              </w:rPr>
            </w:pPr>
            <w:r>
              <w:rPr>
                <w:rFonts w:ascii="Times New Roman" w:cs="Times New Roman" w:eastAsia="Times New Roman" w:hAnsi="Times New Roman"/>
                <w:sz w:val="13"/>
                <w:szCs w:val="13"/>
                <w:b w:val="1"/>
                <w:bCs w:val="1"/>
                <w:color w:val="auto"/>
                <w:w w:val="99"/>
              </w:rPr>
              <w:t>+86 (21) 6193-8200</w:t>
            </w:r>
          </w:p>
        </w:tc>
        <w:tc>
          <w:tcPr>
            <w:tcW w:w="660" w:type="dxa"/>
            <w:vAlign w:val="bottom"/>
          </w:tcPr>
          <w:p>
            <w:pPr>
              <w:spacing w:after="0"/>
              <w:rPr>
                <w:sz w:val="15"/>
                <w:szCs w:val="15"/>
                <w:color w:val="auto"/>
              </w:rPr>
            </w:pPr>
          </w:p>
        </w:tc>
      </w:tr>
    </w:tbl>
    <w:p>
      <w:pPr>
        <w:spacing w:after="0" w:line="1" w:lineRule="exact"/>
        <w:rPr>
          <w:sz w:val="24"/>
          <w:szCs w:val="24"/>
          <w:color w:val="auto"/>
        </w:rPr>
      </w:pPr>
    </w:p>
    <w:tbl>
      <w:tblPr>
        <w:tblLayout w:type="fixed"/>
        <w:tblInd w:w="2440" w:type="dxa"/>
        <w:tblCellMar>
          <w:top w:w="0" w:type="dxa"/>
          <w:left w:w="0" w:type="dxa"/>
          <w:bottom w:w="0" w:type="dxa"/>
          <w:right w:w="0" w:type="dxa"/>
        </w:tblCellMar>
      </w:tblPr>
      <w:tr>
        <w:trPr>
          <w:trHeight w:val="178"/>
        </w:trPr>
        <w:tc>
          <w:tcPr>
            <w:tcW w:w="2520" w:type="dxa"/>
            <w:vAlign w:val="bottom"/>
          </w:tcPr>
          <w:p>
            <w:pPr>
              <w:jc w:val="right"/>
              <w:ind w:right="1493"/>
              <w:spacing w:after="0"/>
              <w:rPr>
                <w:sz w:val="20"/>
                <w:szCs w:val="20"/>
                <w:color w:val="auto"/>
              </w:rPr>
            </w:pPr>
            <w:r>
              <w:rPr>
                <w:rFonts w:ascii="Times New Roman" w:cs="Times New Roman" w:eastAsia="Times New Roman" w:hAnsi="Times New Roman"/>
                <w:sz w:val="13"/>
                <w:szCs w:val="13"/>
                <w:b w:val="1"/>
                <w:bCs w:val="1"/>
                <w:color w:val="auto"/>
                <w:w w:val="97"/>
              </w:rPr>
              <w:t>+86 10 5737-9300</w:t>
            </w:r>
          </w:p>
        </w:tc>
        <w:tc>
          <w:tcPr>
            <w:tcW w:w="4040" w:type="dxa"/>
            <w:vAlign w:val="bottom"/>
            <w:vMerge w:val="restart"/>
          </w:tcPr>
          <w:p>
            <w:pPr>
              <w:jc w:val="center"/>
              <w:ind w:left="1513"/>
              <w:spacing w:after="0"/>
              <w:rPr>
                <w:sz w:val="20"/>
                <w:szCs w:val="20"/>
                <w:color w:val="auto"/>
              </w:rPr>
            </w:pPr>
            <w:r>
              <w:rPr>
                <w:rFonts w:ascii="Times New Roman" w:cs="Times New Roman" w:eastAsia="Times New Roman" w:hAnsi="Times New Roman"/>
                <w:sz w:val="13"/>
                <w:szCs w:val="13"/>
                <w:b w:val="1"/>
                <w:bCs w:val="1"/>
                <w:color w:val="auto"/>
                <w:w w:val="99"/>
              </w:rPr>
              <w:t>Yilin Xu, Esq.</w:t>
            </w: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4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4040" w:type="dxa"/>
            <w:vAlign w:val="bottom"/>
          </w:tcPr>
          <w:p>
            <w:pPr>
              <w:jc w:val="center"/>
              <w:ind w:left="1513"/>
              <w:spacing w:after="0"/>
              <w:rPr>
                <w:sz w:val="20"/>
                <w:szCs w:val="20"/>
                <w:color w:val="auto"/>
              </w:rPr>
            </w:pPr>
            <w:r>
              <w:rPr>
                <w:rFonts w:ascii="Times New Roman" w:cs="Times New Roman" w:eastAsia="Times New Roman" w:hAnsi="Times New Roman"/>
                <w:sz w:val="13"/>
                <w:szCs w:val="13"/>
                <w:b w:val="1"/>
                <w:bCs w:val="1"/>
                <w:color w:val="auto"/>
                <w:w w:val="99"/>
              </w:rPr>
              <w:t>Skadden, Arps, Slate, Meagher &amp; Flom LLP</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4040" w:type="dxa"/>
            <w:vAlign w:val="bottom"/>
          </w:tcPr>
          <w:p>
            <w:pPr>
              <w:jc w:val="center"/>
              <w:ind w:left="1513"/>
              <w:spacing w:after="0"/>
              <w:rPr>
                <w:sz w:val="20"/>
                <w:szCs w:val="20"/>
                <w:color w:val="auto"/>
              </w:rPr>
            </w:pPr>
            <w:r>
              <w:rPr>
                <w:rFonts w:ascii="Times New Roman" w:cs="Times New Roman" w:eastAsia="Times New Roman" w:hAnsi="Times New Roman"/>
                <w:sz w:val="13"/>
                <w:szCs w:val="13"/>
                <w:b w:val="1"/>
                <w:bCs w:val="1"/>
                <w:color w:val="auto"/>
                <w:w w:val="99"/>
              </w:rPr>
              <w:t>30/F, China World Office 2</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4040" w:type="dxa"/>
            <w:vAlign w:val="bottom"/>
          </w:tcPr>
          <w:p>
            <w:pPr>
              <w:jc w:val="center"/>
              <w:ind w:left="1493"/>
              <w:spacing w:after="0"/>
              <w:rPr>
                <w:sz w:val="20"/>
                <w:szCs w:val="20"/>
                <w:color w:val="auto"/>
              </w:rPr>
            </w:pPr>
            <w:r>
              <w:rPr>
                <w:rFonts w:ascii="Times New Roman" w:cs="Times New Roman" w:eastAsia="Times New Roman" w:hAnsi="Times New Roman"/>
                <w:sz w:val="13"/>
                <w:szCs w:val="13"/>
                <w:b w:val="1"/>
                <w:bCs w:val="1"/>
                <w:color w:val="auto"/>
                <w:w w:val="98"/>
              </w:rPr>
              <w:t>No. 1, Jian Guo Men Wai Avenue</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4040" w:type="dxa"/>
            <w:vAlign w:val="bottom"/>
          </w:tcPr>
          <w:p>
            <w:pPr>
              <w:jc w:val="center"/>
              <w:ind w:left="1513"/>
              <w:spacing w:after="0"/>
              <w:rPr>
                <w:sz w:val="20"/>
                <w:szCs w:val="20"/>
                <w:color w:val="auto"/>
              </w:rPr>
            </w:pPr>
            <w:r>
              <w:rPr>
                <w:rFonts w:ascii="Times New Roman" w:cs="Times New Roman" w:eastAsia="Times New Roman" w:hAnsi="Times New Roman"/>
                <w:sz w:val="13"/>
                <w:szCs w:val="13"/>
                <w:b w:val="1"/>
                <w:bCs w:val="1"/>
                <w:color w:val="auto"/>
                <w:w w:val="99"/>
              </w:rPr>
              <w:t>Beijing 100004</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4040" w:type="dxa"/>
            <w:vAlign w:val="bottom"/>
          </w:tcPr>
          <w:p>
            <w:pPr>
              <w:jc w:val="center"/>
              <w:ind w:left="1513"/>
              <w:spacing w:after="0"/>
              <w:rPr>
                <w:sz w:val="20"/>
                <w:szCs w:val="20"/>
                <w:color w:val="auto"/>
              </w:rPr>
            </w:pPr>
            <w:r>
              <w:rPr>
                <w:rFonts w:ascii="Times New Roman" w:cs="Times New Roman" w:eastAsia="Times New Roman" w:hAnsi="Times New Roman"/>
                <w:sz w:val="13"/>
                <w:szCs w:val="13"/>
                <w:b w:val="1"/>
                <w:bCs w:val="1"/>
                <w:color w:val="auto"/>
                <w:w w:val="99"/>
              </w:rPr>
              <w:t>People’s Republic of China</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4040" w:type="dxa"/>
            <w:vAlign w:val="bottom"/>
          </w:tcPr>
          <w:p>
            <w:pPr>
              <w:jc w:val="center"/>
              <w:ind w:left="1533"/>
              <w:spacing w:after="0"/>
              <w:rPr>
                <w:sz w:val="20"/>
                <w:szCs w:val="20"/>
                <w:color w:val="auto"/>
              </w:rPr>
            </w:pPr>
            <w:r>
              <w:rPr>
                <w:rFonts w:ascii="Times New Roman" w:cs="Times New Roman" w:eastAsia="Times New Roman" w:hAnsi="Times New Roman"/>
                <w:sz w:val="13"/>
                <w:szCs w:val="13"/>
                <w:b w:val="1"/>
                <w:bCs w:val="1"/>
                <w:color w:val="auto"/>
                <w:w w:val="99"/>
              </w:rPr>
              <w:t>+86 (10) 6335-5500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120650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p>
    <w:p>
      <w:pPr>
        <w:spacing w:after="0" w:line="10"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5"/>
          <w:szCs w:val="15"/>
          <w:b w:val="1"/>
          <w:bCs w:val="1"/>
          <w:color w:val="auto"/>
        </w:rPr>
        <w:t>as soon as practicable after the effective date of this registration statement.</w:t>
      </w:r>
    </w:p>
    <w:p>
      <w:pPr>
        <w:spacing w:after="0" w:line="28" w:lineRule="exact"/>
        <w:rPr>
          <w:sz w:val="24"/>
          <w:szCs w:val="24"/>
          <w:color w:val="auto"/>
        </w:rPr>
      </w:pPr>
    </w:p>
    <w:p>
      <w:pPr>
        <w:ind w:left="500" w:right="140" w:firstLine="360"/>
        <w:spacing w:after="0" w:line="19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ind w:left="500" w:right="22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16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14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860" w:right="980"/>
        <w:spacing w:after="0" w:line="21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100" w:firstLine="360"/>
        <w:spacing w:after="0" w:line="180"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160" w:firstLine="360"/>
        <w:spacing w:after="0" w:line="235"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74930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7" w:lineRule="exact"/>
        <w:rPr>
          <w:sz w:val="24"/>
          <w:szCs w:val="24"/>
          <w:color w:val="auto"/>
        </w:rPr>
      </w:pPr>
    </w:p>
    <w:p>
      <w:pPr>
        <w:ind w:left="860" w:right="500" w:hanging="368"/>
        <w:spacing w:after="0" w:line="261"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23495</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6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any state</w:t>
            </w:r>
          </w:p>
        </w:tc>
      </w:tr>
      <w:tr>
        <w:trPr>
          <w:trHeight w:val="17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w:t>
            </w:r>
          </w:p>
        </w:tc>
      </w:tr>
      <w:tr>
        <w:trPr>
          <w:trHeight w:val="10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until</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offers</w:t>
            </w:r>
          </w:p>
        </w:tc>
      </w:tr>
      <w:tr>
        <w:trPr>
          <w:trHeight w:val="21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 these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we are not</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4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PRELIMINARY PROSPECTUS (Subject to Completion)</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Dated                  , 2024.</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135890</wp:posOffset>
            </wp:positionV>
            <wp:extent cx="205740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NIP Group Inc.</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Representing                     Ordinary Shares</w:t>
      </w:r>
    </w:p>
    <w:p>
      <w:pPr>
        <w:spacing w:after="0" w:line="88" w:lineRule="exact"/>
        <w:rPr>
          <w:sz w:val="20"/>
          <w:szCs w:val="20"/>
          <w:color w:val="auto"/>
        </w:rPr>
      </w:pPr>
    </w:p>
    <w:p>
      <w:pPr>
        <w:ind w:right="599" w:firstLine="360"/>
        <w:spacing w:after="0" w:line="266" w:lineRule="auto"/>
        <w:rPr>
          <w:sz w:val="20"/>
          <w:szCs w:val="20"/>
          <w:color w:val="auto"/>
        </w:rPr>
      </w:pPr>
      <w:r>
        <w:rPr>
          <w:rFonts w:ascii="Times New Roman" w:cs="Times New Roman" w:eastAsia="Times New Roman" w:hAnsi="Times New Roman"/>
          <w:sz w:val="18"/>
          <w:szCs w:val="18"/>
          <w:color w:val="auto"/>
        </w:rPr>
        <w:t>We are selling            American depositary shares, or ADSs. Each ADS represents               of our ordinary shares, par value US$0.0001 per share.</w:t>
      </w:r>
    </w:p>
    <w:p>
      <w:pPr>
        <w:spacing w:after="0" w:line="27" w:lineRule="exact"/>
        <w:rPr>
          <w:sz w:val="20"/>
          <w:szCs w:val="20"/>
          <w:color w:val="auto"/>
        </w:rPr>
      </w:pPr>
    </w:p>
    <w:p>
      <w:pPr>
        <w:ind w:right="99" w:firstLine="360"/>
        <w:spacing w:after="0" w:line="250" w:lineRule="auto"/>
        <w:rPr>
          <w:sz w:val="20"/>
          <w:szCs w:val="20"/>
          <w:color w:val="auto"/>
        </w:rPr>
      </w:pPr>
      <w:r>
        <w:rPr>
          <w:rFonts w:ascii="Times New Roman" w:cs="Times New Roman" w:eastAsia="Times New Roman" w:hAnsi="Times New Roman"/>
          <w:sz w:val="18"/>
          <w:szCs w:val="18"/>
          <w:color w:val="auto"/>
        </w:rPr>
        <w:t>This is an initial public offering of ADSs of NIP Group Inc. Prior to this offering, there has been no public market for the ADSs or our ordinary shares. We anticipate that the initial public offering price will be between US$            and US$            per ADS.</w:t>
      </w:r>
    </w:p>
    <w:p>
      <w:pPr>
        <w:spacing w:after="0" w:line="42" w:lineRule="exact"/>
        <w:rPr>
          <w:sz w:val="20"/>
          <w:szCs w:val="20"/>
          <w:color w:val="auto"/>
        </w:rPr>
      </w:pPr>
    </w:p>
    <w:p>
      <w:pPr>
        <w:ind w:right="239" w:firstLine="360"/>
        <w:spacing w:after="0" w:line="250"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or our ordinary shares. After pricing of the offering, we expect that the ADSs will trade on the Nasdaq Stock Market under the symbol “NIPG.” We believe that upon the completion of this offering, we will meet the standards for listing on the Nasdaq Stock Market, and the closing of this offering is contingent upon such listing.</w:t>
      </w:r>
    </w:p>
    <w:p>
      <w:pPr>
        <w:spacing w:after="0" w:line="42" w:lineRule="exact"/>
        <w:rPr>
          <w:sz w:val="20"/>
          <w:szCs w:val="20"/>
          <w:color w:val="auto"/>
        </w:rPr>
      </w:pPr>
    </w:p>
    <w:p>
      <w:pPr>
        <w:ind w:right="159" w:firstLine="360"/>
        <w:spacing w:after="0" w:line="241" w:lineRule="auto"/>
        <w:rPr>
          <w:sz w:val="20"/>
          <w:szCs w:val="20"/>
          <w:color w:val="auto"/>
        </w:rPr>
      </w:pPr>
      <w:r>
        <w:rPr>
          <w:rFonts w:ascii="Times New Roman" w:cs="Times New Roman" w:eastAsia="Times New Roman" w:hAnsi="Times New Roman"/>
          <w:sz w:val="18"/>
          <w:szCs w:val="18"/>
          <w:color w:val="auto"/>
        </w:rPr>
        <w:t>NIP Group Inc. is not a Chinese operating company but a Cayman Islands holding company with operations primarily conducted through its wholly -owned subsidiaries in (i) Sweden, namely Ninjas in Pyjamas Gaming AB, which is engaged in esports teams operations, and (ii) China, namely Wuhan Xingjingweiwu Culture &amp; Sports Development Co., Ltd., which is engaged in esports teams, talent management and event production operations. Under this holding company structure, investors in the ADSs are purchasing equity interests in the Cayman Islands holding company. This holding company structure involves unique risks to investors and investors may never hold equity interests in the Swedish and Chinese operating companies. While we do not operate in an industry that is currently subject to foreign ownership limitations in China, PRC regulatory authorities could decide to limit foreign ownership in our industry or disallow our structure in the future, in which case there could be a risk that we would be unable to do business in China as we are currently structured. In such event, despite our efforts to restructure to comply with the then applicable PRC laws and regulations in order to continue our operations in China, we may experience material changes in our operations or the value of our ADSs if our attempts prove to be futile due to factors beyond our control, which could cause the value of the ADSs in which you invest to significantly decline or become worthless. See “Risk Factors — Risks Related to Doing Business in China — PRC regulatory authorities could disallow our holding company structure.”</w:t>
      </w:r>
    </w:p>
    <w:p>
      <w:pPr>
        <w:spacing w:after="0" w:line="49" w:lineRule="exact"/>
        <w:rPr>
          <w:sz w:val="20"/>
          <w:szCs w:val="20"/>
          <w:color w:val="auto"/>
        </w:rPr>
      </w:pPr>
    </w:p>
    <w:p>
      <w:pPr>
        <w:ind w:right="99" w:firstLine="360"/>
        <w:spacing w:after="0" w:line="242" w:lineRule="auto"/>
        <w:rPr>
          <w:sz w:val="20"/>
          <w:szCs w:val="20"/>
          <w:color w:val="auto"/>
        </w:rPr>
      </w:pPr>
      <w:r>
        <w:rPr>
          <w:rFonts w:ascii="Times New Roman" w:cs="Times New Roman" w:eastAsia="Times New Roman" w:hAnsi="Times New Roman"/>
          <w:sz w:val="18"/>
          <w:szCs w:val="18"/>
          <w:color w:val="auto"/>
        </w:rPr>
        <w:t>As a holding company, NIP Group Inc. may rely on dividends from its subsidiaries for cash requirements, including any payment of dividends to its shareholders. The ability of our subsidiaries to pay dividends or make distributions to NIP Group Inc. may be restricted by laws and regulations applicable to them or the debt they incur on their own behalf or the instruments governing their debt. To the extent our cash or assets in the business are in mainland China or Hong Kong or a mainland China or Hong Kong entity, the funds or assets may not be available to fund operations or for other use outside of mainland China or Hong Kong due to interventions in, or the imposition of restrictions and limitations on, the ability of NIP Group Inc. or its subsidiaries by the PRC government to transfer cash or assets. In addition, if any regulatory authorities disallow this holding company structure and limit or hinder our ability to conduct our business through, receive dividends or distributions from, or transfer funds to, the operating companies or list on a U.S. or other foreign exchange, the value of our securities could decline significantly or become worthless. See “Prospectus Summary — Our Corporate Structure.” Unless otherwise stated or the context otherwise requires, references in this prospectus to (i) “NIP Group” are to NIP Group Inc., and (ii) “we,” “us,” “our,” “the Company” and “our company” are to NIP Group and its subsidiaries (and, in the context of describing our operations and consolidated financial information for the periods ended prior to the Restructuring, also to the VIE and its subsidiaries).</w:t>
      </w:r>
    </w:p>
    <w:p>
      <w:pPr>
        <w:spacing w:after="0" w:line="258" w:lineRule="exact"/>
        <w:rPr>
          <w:sz w:val="20"/>
          <w:szCs w:val="20"/>
          <w:color w:val="auto"/>
        </w:rPr>
      </w:pPr>
    </w:p>
    <w:p>
      <w:pPr>
        <w:ind w:right="139" w:firstLine="360"/>
        <w:spacing w:after="0" w:line="250" w:lineRule="auto"/>
        <w:rPr>
          <w:sz w:val="20"/>
          <w:szCs w:val="20"/>
          <w:color w:val="auto"/>
        </w:rPr>
      </w:pPr>
      <w:r>
        <w:rPr>
          <w:rFonts w:ascii="Times New Roman" w:cs="Times New Roman" w:eastAsia="Times New Roman" w:hAnsi="Times New Roman"/>
          <w:sz w:val="18"/>
          <w:szCs w:val="18"/>
          <w:color w:val="auto"/>
        </w:rPr>
        <w:t>Historically, we conducted our operations in China through Wuhan Muyecun Network Technology Co., Ltd. (“Wuhan Muyecun” or “the WFOE”) and through Wuhan Xingjingweiwu Culture &amp; Sports Development Co., Ltd. (“Wuhan ESVF” or “the former VIE”), with which we, the WFOE, and the nominee shareholders of Wuhan ESVF entered into certain contractual arrangements. We did not own an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222885</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6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any state</w:t>
            </w:r>
          </w:p>
        </w:tc>
      </w:tr>
      <w:tr>
        <w:trPr>
          <w:trHeight w:val="17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w:t>
            </w:r>
          </w:p>
        </w:tc>
      </w:tr>
      <w:tr>
        <w:trPr>
          <w:trHeight w:val="10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until</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offers</w:t>
            </w:r>
          </w:p>
        </w:tc>
      </w:tr>
      <w:tr>
        <w:trPr>
          <w:trHeight w:val="21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 these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we are not</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4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39"/>
        <w:spacing w:after="0" w:line="246" w:lineRule="auto"/>
        <w:rPr>
          <w:sz w:val="20"/>
          <w:szCs w:val="20"/>
          <w:color w:val="auto"/>
        </w:rPr>
      </w:pPr>
      <w:r>
        <w:rPr>
          <w:rFonts w:ascii="Times New Roman" w:cs="Times New Roman" w:eastAsia="Times New Roman" w:hAnsi="Times New Roman"/>
          <w:sz w:val="18"/>
          <w:szCs w:val="18"/>
          <w:color w:val="auto"/>
        </w:rPr>
        <w:t>interest in the VIE or its subsidiaries and relied on the contractual arrangements to direct the business operations of the VIE. Such structure enables investors to invest in China-based companies in sectors where foreign direct investment is prohibited or restricted under PRC laws and regulations. Following a restructuring in June 2023 (the “Restructuring”), the contractual arrangements were terminated and currently we do not have any VIE in China.</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may be transferred within our organization in the following manners:</w:t>
      </w:r>
    </w:p>
    <w:p>
      <w:pPr>
        <w:spacing w:after="0" w:line="63" w:lineRule="exact"/>
        <w:rPr>
          <w:sz w:val="20"/>
          <w:szCs w:val="20"/>
          <w:color w:val="auto"/>
        </w:rPr>
      </w:pPr>
    </w:p>
    <w:p>
      <w:pPr>
        <w:ind w:right="319" w:firstLine="360"/>
        <w:spacing w:after="0" w:line="250" w:lineRule="auto"/>
        <w:rPr>
          <w:sz w:val="20"/>
          <w:szCs w:val="20"/>
          <w:color w:val="auto"/>
        </w:rPr>
      </w:pPr>
      <w:r>
        <w:rPr>
          <w:rFonts w:ascii="Times New Roman" w:cs="Times New Roman" w:eastAsia="Times New Roman" w:hAnsi="Times New Roman"/>
          <w:sz w:val="18"/>
          <w:szCs w:val="18"/>
          <w:color w:val="auto"/>
        </w:rPr>
        <w:t>Under PRC laws, NIP Group Inc. may, via its intermediary Hong Kong holding company, provide funding to our WFOE through capital contributions, loans, and inter-company advances. In addition, cash may be transferred among our subsidiaries, through capital contributions, loans and settlement of transactions, subject to satisfaction of applicable government registration and approval requirements.</w:t>
      </w:r>
    </w:p>
    <w:p>
      <w:pPr>
        <w:spacing w:after="0" w:line="42" w:lineRule="exact"/>
        <w:rPr>
          <w:sz w:val="20"/>
          <w:szCs w:val="20"/>
          <w:color w:val="auto"/>
        </w:rPr>
      </w:pPr>
    </w:p>
    <w:p>
      <w:pPr>
        <w:ind w:right="119" w:firstLine="360"/>
        <w:spacing w:after="0" w:line="245" w:lineRule="auto"/>
        <w:rPr>
          <w:sz w:val="20"/>
          <w:szCs w:val="20"/>
          <w:color w:val="auto"/>
        </w:rPr>
      </w:pPr>
      <w:r>
        <w:rPr>
          <w:rFonts w:ascii="Times New Roman" w:cs="Times New Roman" w:eastAsia="Times New Roman" w:hAnsi="Times New Roman"/>
          <w:sz w:val="18"/>
          <w:szCs w:val="18"/>
          <w:color w:val="auto"/>
        </w:rPr>
        <w:t>Our WFOE and the WFOE’s subsidiaries are required to make appropriations to certain statutory reserve funds or may make appropriations to certain discretionary funds, which are not distributable as cash dividends except in the event of a solvent liquidation of the companies. The PRC government imposes controls on the convertibility of the Renminbi into foreign currencies and, in certain cases, the remittance of currency out of China. If the foreign exchange control system prevents us from obtaining sufficient foreign currencies to satisfy our foreign currency demands, we may not be able to pay dividends in foreign currencies to our shareholders.</w:t>
      </w:r>
    </w:p>
    <w:p>
      <w:pPr>
        <w:spacing w:after="0" w:line="258" w:lineRule="exact"/>
        <w:rPr>
          <w:sz w:val="20"/>
          <w:szCs w:val="20"/>
          <w:color w:val="auto"/>
        </w:rPr>
      </w:pPr>
    </w:p>
    <w:p>
      <w:pPr>
        <w:ind w:right="29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our WFOE has not made any dividends or other distributions to our intermediary Hong Kong holding company or NIP Group Inc., and we have not declared or paid any dividends on our shares.</w:t>
      </w:r>
    </w:p>
    <w:p>
      <w:pPr>
        <w:spacing w:after="0" w:line="42" w:lineRule="exact"/>
        <w:rPr>
          <w:sz w:val="20"/>
          <w:szCs w:val="20"/>
          <w:color w:val="auto"/>
        </w:rPr>
      </w:pPr>
    </w:p>
    <w:p>
      <w:pPr>
        <w:ind w:right="99" w:firstLine="360"/>
        <w:spacing w:after="0" w:line="242" w:lineRule="auto"/>
        <w:rPr>
          <w:sz w:val="20"/>
          <w:szCs w:val="20"/>
          <w:color w:val="auto"/>
        </w:rPr>
      </w:pPr>
      <w:r>
        <w:rPr>
          <w:rFonts w:ascii="Times New Roman" w:cs="Times New Roman" w:eastAsia="Times New Roman" w:hAnsi="Times New Roman"/>
          <w:sz w:val="18"/>
          <w:szCs w:val="18"/>
          <w:color w:val="auto"/>
        </w:rPr>
        <w:t>For 2021, there was a capital investment of US$1.24 million from NIP Group Inc. to our WFOE through the intermediary Hong Kong holding company. In January 2022, there was an entrusted loan of US$0.86 million from our WFOE to Wuhan ESVF. In September 2022, there was a loan of US$5.0 million provided by NIP Group Inc. to Wuhan ESVF. In January 2023, there was a loan of US$4.5 million provided by NIP Group Inc. to Wuhan ESVF. In February 2023, there was a loan of US$1.75 million provided by NIP Group Inc. to Wuhan ESVF. In July 2023, there was a capital investment of US$2.85 million from NIP Group Inc. to our WFOE through the intermediary Hong Kong holding company. In July 2023, there was a capital investment of US$3.05 million from our WFOE to Wuhan ESVF. In August 2023, there was a capital investment of US$5.01 million from NIP Group Inc. to our WOFE through the intermediary Hong Kong holding company. In September 2023, there was a capital investment of US$5.00 million from NIP Group Inc. to our WOFE through the intermediary Hong Kong holding company. In September 2023, there was a capital investment of US$10.07 million from our WFOE to Wuhan ESVF. In November and December 2023 and February 2024, there was a capital investment of US$1.50 million, US$3.00 million and US$1.00 million, respectively, from NIP Group Inc. to our WOFE through the intermediary Hong Kong holding company. In November and December 2023 and February 2024, there was a capital investment of US $1.50 million, US $2.94 million and US$1.05 million, respectively, from our WFOE to Wuhan ESVF. As of the date of this prospectus, no subsidiaries paid any dividends or made any distributions to their respective shareholders.</w:t>
      </w:r>
    </w:p>
    <w:p>
      <w:pPr>
        <w:spacing w:after="0" w:line="245" w:lineRule="exact"/>
        <w:rPr>
          <w:sz w:val="20"/>
          <w:szCs w:val="20"/>
          <w:color w:val="auto"/>
        </w:rPr>
      </w:pPr>
    </w:p>
    <w:p>
      <w:pPr>
        <w:ind w:right="139" w:firstLine="360"/>
        <w:spacing w:after="0" w:line="241" w:lineRule="auto"/>
        <w:rPr>
          <w:sz w:val="20"/>
          <w:szCs w:val="20"/>
          <w:color w:val="auto"/>
        </w:rPr>
      </w:pPr>
      <w:r>
        <w:rPr>
          <w:rFonts w:ascii="Times New Roman" w:cs="Times New Roman" w:eastAsia="Times New Roman" w:hAnsi="Times New Roman"/>
          <w:sz w:val="18"/>
          <w:szCs w:val="18"/>
          <w:color w:val="auto"/>
        </w:rPr>
        <w:t>We currently do not have cash management policies in place that dictate how funds are transferred between NIP Group Inc., our subsidiaries, and the investors, including potential U.S. investors. Rather, the funds can be transferred in accordance with the applicable PRC laws and regulations. If we are considered a PRC tax resident enterprise for tax purposes, any dividends we pay to our overseas shareholders may be regarded as China- sourced income and as a result may be subject to PRC withholding tax. In addition, relevant PRC laws and regulations permit the PRC companies to pay dividends only out of their retained earnings, if any, as determined in accordance with PRC accounting standards and regulations. The Company’s WFOE may pay dividends only out of its accumulated after-tax profits upon satisfaction of relevant statutory conditions and procedures, if any, determined in accordance with Chinese accounting standards and regulations; and the WFOE is required to set aside at least 10% of its after-tax profits each year, if any, to fund certain reserve funds until the total amount set aside reaches 50% of its registered capital. Additionally, the WFOE and the WFOE’s subsidiaries can only distribute dividends upon approval of the shareholders after they have met the PRC requirements for appropriation to the statutory reserves. Such laws and regulations would limit our ability to transfer cash between NIP Group Inc., our WFOE, or investors. For a detailed description of how cash is transferred through our organization, see “Prospectus Summary — Cash and Asset Flows Through Our Organization,” “Prospectus Summary — Summary of Risk Factors,” and “Risk Factors — Risks Related to Doing Business in China — 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371475</wp:posOffset>
            </wp:positionV>
            <wp:extent cx="68065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6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any state</w:t>
            </w:r>
          </w:p>
        </w:tc>
      </w:tr>
      <w:tr>
        <w:trPr>
          <w:trHeight w:val="17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w:t>
            </w:r>
          </w:p>
        </w:tc>
      </w:tr>
      <w:tr>
        <w:trPr>
          <w:trHeight w:val="10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until</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offers</w:t>
            </w:r>
          </w:p>
        </w:tc>
      </w:tr>
      <w:tr>
        <w:trPr>
          <w:trHeight w:val="21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 these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we are not</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4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99" w:firstLine="360"/>
        <w:spacing w:after="0"/>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China and the complex and evolving PRC laws and regulations. The PRC government has significant authority to exert influence on the ability of a China-based company, such as us, to conduct its business, accept foreign investments or list on a U.S. or other foreign exchanges. For example, we face risks associated with regulatory approvals on offerings conducted overseas by and foreign investment in China-based issuers, anti-monopoly regulatory actions, oversight on cybersecurity, data privacy and personal information. These risks could result in a material adverse change in our operations and the value of our ADSs, significantly limit or completely hinder our ability to continue to offer securities to investors, or cause the value of such securities to significantly decline or be of little or no value.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On March 6, 2023, we received a confirmation from the China Cybersecurity Review Technology and Certification Center, or the CCRC, the institution designated by the CAC to receive application materials for cybersecurity review and conduct examinations of such applications, which confirmed to us that we would not be required to apply for a cybersecurity review in connection with this offering and our proposed listing because we do not possess over one million users’ personal information. On February 17, 2023, the China Securities Regulatory Commission, or the CSRC, issued the Trial Administrative Measures of Overseas Securities Offering and Listing by Domestic Companies, or the Trial Measures, together with five supporting guidelines, which took effect on March 31, 2023. According to the Trial Measures, Chinese domestic companies that seek to offer or list securities overseas, either in direct or indirect means, are required to fulfill the filing procedure with the CSRC and report relevant information. Pursuant to the Trial Measures, we are required to complete the filing procedures with the CSRC in connection with this offering and the CSRC published the notification on our completion of the required filing procedures on May 30, 2024 for this offering. Furthermore, the Anti-Monopoly Law promulgated by the Standing Committee of the National People’s Congress, which became effective in 2008, and the latest amendment of which took effect from August 1, 2022, requires that transactions which are deemed concentrations and involve parties with specified turnover thresholds must be cleared by the Anti-Monopoly Law-Enforcement Agency under the State Council before they can be completed. As of the date of this prospectus, we do not believe that we are subject to merger control review by the Anti-Monopoly Law-Enforcement Agency in China because we do not engage in monopolistic behaviors that are subject to these statements or regulatory actions. For a detailed description of risks related to doing business in China, please refer to risks disclosed under “Risk Factors — Risks Related to Doing Business in China.” New regulatory actions related to data security or anti-monopoly concerns in Hong Kong may be taken in the future, and such regulatory actions may also impact our ability to conduct our business, accept foreign investments, or list on a U.S. or foreign stock exchange. While Hong Kong currently operates under a different set of laws from mainland China, in the event that we decide to operate in Hong Kong, there can be no assurance as to whether the government of Hong Kong will enact laws and regulations similar to mainland China, or whether any laws or regulations of mainland China will become applicable to our operations in Hong Kong in the future, which could be at any time and with no advance notice, and in such event, the legal and operational risks associated with having operations in mainland China would also apply to our operations in Hong Kong.</w:t>
      </w:r>
    </w:p>
    <w:p>
      <w:pPr>
        <w:spacing w:after="0" w:line="200" w:lineRule="exact"/>
        <w:rPr>
          <w:sz w:val="20"/>
          <w:szCs w:val="20"/>
          <w:color w:val="auto"/>
        </w:rPr>
      </w:pPr>
    </w:p>
    <w:p>
      <w:pPr>
        <w:spacing w:after="0" w:line="278" w:lineRule="exact"/>
        <w:rPr>
          <w:sz w:val="20"/>
          <w:szCs w:val="20"/>
          <w:color w:val="auto"/>
        </w:rPr>
      </w:pPr>
    </w:p>
    <w:p>
      <w:pPr>
        <w:ind w:right="99" w:firstLine="360"/>
        <w:spacing w:after="0" w:line="242" w:lineRule="auto"/>
        <w:rPr>
          <w:sz w:val="20"/>
          <w:szCs w:val="20"/>
          <w:color w:val="auto"/>
        </w:rPr>
      </w:pPr>
      <w:r>
        <w:rPr>
          <w:rFonts w:ascii="Times New Roman" w:cs="Times New Roman" w:eastAsia="Times New Roman" w:hAnsi="Times New Roman"/>
          <w:sz w:val="18"/>
          <w:szCs w:val="18"/>
          <w:color w:val="auto"/>
        </w:rPr>
        <w:t>On December 16, 2021, the Public Company Accounting Oversight Board (United States), or the PCAOB, issued a report to notify the SEC of its determination that the PCAOB was unable to inspect or investigate completely registered public accounting firms headquartered in mainland China and Hong Kong. Our auditor, Marcum Asia CPAs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our auditor’s compliance with the applicable professional standards. Our auditor is headquartered in Manhattan, New York, and is subject to inspection by the PCAOB on a regular basis with the latest inspection in 2023. As of the date of this prospectus, our auditor is not among the firms listed on the PCAOB Determination List issued in December 2021. The Holding Foreign Companies Accountable Act, or the HFCAA, was enacted on December 18, 2020.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238760</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6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any state</w:t>
            </w:r>
          </w:p>
        </w:tc>
      </w:tr>
      <w:tr>
        <w:trPr>
          <w:trHeight w:val="17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w:t>
            </w:r>
          </w:p>
        </w:tc>
      </w:tr>
      <w:tr>
        <w:trPr>
          <w:trHeight w:val="10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until</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offers</w:t>
            </w:r>
          </w:p>
        </w:tc>
      </w:tr>
      <w:tr>
        <w:trPr>
          <w:trHeight w:val="21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 these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we are not</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4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19"/>
        <w:spacing w:after="0" w:line="241" w:lineRule="auto"/>
        <w:rPr>
          <w:sz w:val="20"/>
          <w:szCs w:val="20"/>
          <w:color w:val="auto"/>
        </w:rPr>
      </w:pPr>
      <w:r>
        <w:rPr>
          <w:rFonts w:ascii="Times New Roman" w:cs="Times New Roman" w:eastAsia="Times New Roman" w:hAnsi="Times New Roman"/>
          <w:sz w:val="18"/>
          <w:szCs w:val="18"/>
          <w:color w:val="auto"/>
        </w:rPr>
        <w:t>accordance with the HFCAA, trading in our ADSs on a national securities exchange or in the over-the-counter trading market in the United States may be prohibited if the PCAOB determines that it cannot inspect or fully investigate our auditor for three consecutive years beginning in 2021, and, as a result, an exchange may determine to delist our ADSs. On December 15, 2022, the PCAOB removed mainland China and Hong Kong from the list of jurisdictions where it is unable to inspect or investigate completely registered public accounting firms. Accordingly, until such time as the PCAOB issues any new determination, there are no issuers at risk of having their securities subject to a trading prohibition under the HFCAA.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certain jurisdictions and we use an accounting firm headquartered in one of such jurisdictions to issue an audit report on our financial statements filed with the SEC, we would be identified as a Commission-Identified Issuer following the filing of the annual report on Form 20-F for the relevant fiscal year. On December 29, 2022, the Consolidated Appropriations Act, 2023 was signed into law, which, among others, amended the HFCAA to reduce the number of consecutive years an issuer can be identified a Commission-Identified Issuer before the SEC must impose an initial trading prohibition on the issuer’s securities from three years to two. There can be no assurance that we would not be identified as a Commission -Identified Issuer for any future fiscal year, and if we were so identified for two consecutive years, we would become subject to the prohibition on trading under the HFCAA. See “Risk Factors — Risks Related to Doing Business in China — 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260" w:lineRule="exact"/>
        <w:rPr>
          <w:sz w:val="20"/>
          <w:szCs w:val="20"/>
          <w:color w:val="auto"/>
        </w:rPr>
      </w:pPr>
    </w:p>
    <w:p>
      <w:pPr>
        <w:jc w:val="both"/>
        <w:ind w:right="319" w:firstLine="360"/>
        <w:spacing w:after="0" w:line="250" w:lineRule="auto"/>
        <w:rPr>
          <w:sz w:val="20"/>
          <w:szCs w:val="20"/>
          <w:color w:val="auto"/>
        </w:rPr>
      </w:pPr>
      <w:r>
        <w:rPr>
          <w:rFonts w:ascii="Times New Roman" w:cs="Times New Roman" w:eastAsia="Times New Roman" w:hAnsi="Times New Roman"/>
          <w:sz w:val="18"/>
          <w:szCs w:val="18"/>
          <w:color w:val="auto"/>
        </w:rPr>
        <w:t>Upon the completion of this offering,                , our                  , will beneficially own              of the ordinary shares issued and outstanding and voting power, assuming the underwriters do not exercise their option to purchase additional ADSs. As a result,            will have the ability to control or exert significant influence over important corporate matters.</w:t>
      </w:r>
    </w:p>
    <w:p>
      <w:pPr>
        <w:spacing w:after="0" w:line="29" w:lineRule="exact"/>
        <w:rPr>
          <w:sz w:val="20"/>
          <w:szCs w:val="20"/>
          <w:color w:val="auto"/>
        </w:rPr>
      </w:pPr>
    </w:p>
    <w:p>
      <w:pPr>
        <w:jc w:val="both"/>
        <w:ind w:right="339" w:firstLine="360"/>
        <w:spacing w:after="0" w:line="279"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1" w:lineRule="exact"/>
        <w:rPr>
          <w:sz w:val="20"/>
          <w:szCs w:val="20"/>
          <w:color w:val="auto"/>
        </w:rPr>
      </w:pPr>
    </w:p>
    <w:p>
      <w:pPr>
        <w:ind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the ADSs involves risks. See “Risk Factors” beginning on page </w:t>
      </w:r>
      <w:r>
        <w:rPr>
          <w:rFonts w:ascii="Times New Roman" w:cs="Times New Roman" w:eastAsia="Times New Roman" w:hAnsi="Times New Roman"/>
          <w:sz w:val="18"/>
          <w:szCs w:val="18"/>
          <w:b w:val="1"/>
          <w:bCs w:val="1"/>
          <w:u w:val="single" w:color="auto"/>
          <w:color w:val="0000EE"/>
        </w:rPr>
        <w:t>21</w:t>
      </w:r>
      <w:r>
        <w:rPr>
          <w:rFonts w:ascii="Times New Roman" w:cs="Times New Roman" w:eastAsia="Times New Roman" w:hAnsi="Times New Roman"/>
          <w:sz w:val="18"/>
          <w:szCs w:val="18"/>
          <w:b w:val="1"/>
          <w:bCs w:val="1"/>
          <w:color w:val="auto"/>
        </w:rPr>
        <w:t xml:space="preserve"> for factors you should consider before buying the ADSs.</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PRICE US$            PER ADS</w:t>
      </w:r>
    </w:p>
    <w:p>
      <w:pPr>
        <w:spacing w:after="0" w:line="77" w:lineRule="exact"/>
        <w:rPr>
          <w:sz w:val="20"/>
          <w:szCs w:val="20"/>
          <w:color w:val="auto"/>
        </w:rPr>
      </w:pPr>
    </w:p>
    <w:p>
      <w:pPr>
        <w:jc w:val="both"/>
        <w:ind w:right="6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272"/>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2"/>
          </w:tcPr>
          <w:p>
            <w:pPr>
              <w:ind w:left="1700"/>
              <w:spacing w:after="0" w:line="271"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ADS</w:t>
            </w:r>
          </w:p>
        </w:tc>
        <w:tc>
          <w:tcPr>
            <w:tcW w:w="840" w:type="dxa"/>
            <w:vAlign w:val="bottom"/>
            <w:gridSpan w:val="2"/>
          </w:tcPr>
          <w:p>
            <w:pPr>
              <w:ind w:left="40"/>
              <w:spacing w:after="0" w:line="271"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9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4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xml:space="preserve">​ ​ US$     </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US$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 US$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4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 US$</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US$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817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1" w:lineRule="exact"/>
        <w:rPr>
          <w:sz w:val="20"/>
          <w:szCs w:val="20"/>
          <w:color w:val="auto"/>
        </w:rPr>
      </w:pPr>
    </w:p>
    <w:p>
      <w:pPr>
        <w:ind w:left="360" w:hanging="356"/>
        <w:spacing w:after="0"/>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additional information regarding compensation payable by us to the underwriters.</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granted the underwriters a 30-day option to purchase up to an additional ADSs.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411480</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5"/>
          <w:szCs w:val="25"/>
          <w:b w:val="1"/>
          <w:bCs w:val="1"/>
          <w:color w:val="auto"/>
        </w:rPr>
        <w:t>​Deutsche Bank  ​​ CICC​ ​</w:t>
        <w:tab/>
        <w:t>US Tiger Securities  ​ ​ GF Securities (Hong Kong)​</w:t>
      </w:r>
    </w:p>
    <w:p>
      <w:pPr>
        <w:spacing w:after="0" w:line="156"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22"/>
          <w:szCs w:val="22"/>
          <w:b w:val="1"/>
          <w:bCs w:val="1"/>
          <w:color w:val="auto"/>
        </w:rPr>
        <w:t>Sahm Capital</w:t>
      </w:r>
      <w:r>
        <w:rPr>
          <w:sz w:val="20"/>
          <w:szCs w:val="20"/>
          <w:color w:val="auto"/>
        </w:rPr>
        <w:tab/>
      </w:r>
      <w:r>
        <w:rPr>
          <w:rFonts w:ascii="Times New Roman" w:cs="Times New Roman" w:eastAsia="Times New Roman" w:hAnsi="Times New Roman"/>
          <w:sz w:val="19"/>
          <w:szCs w:val="19"/>
          <w:b w:val="1"/>
          <w:bCs w:val="1"/>
          <w:color w:val="auto"/>
        </w:rPr>
        <w:t>Kingswood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253365</wp:posOffset>
            </wp:positionV>
            <wp:extent cx="6806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Corporate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History and Structure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Statement of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Management’s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Discussion and Analysis of Financial Condition and Results of Operations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Industry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Regulation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Related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Party Transactions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Expenses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Related to this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Audited Consolidated Financial Statements NIP Group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Audited Consolidated Financial Statements Ninjas In Pyjamas Gaming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 Required In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180340</wp:posOffset>
            </wp:positionV>
            <wp:extent cx="123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174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184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220" w:space="720"/>
            <w:col w:w="939"/>
          </w:cols>
          <w:pgMar w:left="580" w:top="97" w:right="1440" w:bottom="1440" w:gutter="0" w:footer="0" w:header="0"/>
          <w:type w:val="continuous"/>
        </w:sectPr>
      </w:pPr>
    </w:p>
    <w:p>
      <w:pPr>
        <w:spacing w:after="0" w:line="27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Until                 , 2024 (the 25th day after the date of this prospectus), all dealers that effect transactions is these ADSs, whether or not participating in this offering, may be required to deliver a prospectus. This is in addition to the dealer’ obligation to deliver a prospectus when acting as an underwriter and with respect to their unsold allotments or subscriptions.</w:t>
      </w:r>
    </w:p>
    <w:p>
      <w:pPr>
        <w:spacing w:after="0" w:line="107"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that we authorize to be distributed to you. We and the underwriters have not authorized anyone to provide you with any information other than that contained in this prospectus or in any free writing prospectus prepared by or on behalf of us or to which we have referred you, and neither we, nor the underwriters take responsibility for any other information others may give you. We are offering to sell, and seeking offers to buy the ADSs, only in jurisdictions where such offers and sales are permitted. The information in this prospectus or any free writing prospectus is accurate only as of its date, regardless of its time of delivery or the time of any sale of the ADSs. Our business, financial condition, results of operations and prospectus may have changed since that date.</w:t>
      </w:r>
    </w:p>
    <w:p>
      <w:pPr>
        <w:spacing w:after="0" w:line="32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has taken any action to permit a public offering of the ADSs outside the United States or to permit the possession or distribution of this prospectus or any filed free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ETTER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ROM</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OUNDERS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Dear potential investors,</w:t>
      </w:r>
    </w:p>
    <w:p>
      <w:pPr>
        <w:spacing w:after="0" w:line="158" w:lineRule="exact"/>
        <w:rPr>
          <w:sz w:val="20"/>
          <w:szCs w:val="20"/>
          <w:color w:val="auto"/>
        </w:rPr>
      </w:pPr>
    </w:p>
    <w:p>
      <w:pPr>
        <w:ind w:left="1620" w:right="419" w:firstLine="360"/>
        <w:spacing w:after="0" w:line="258" w:lineRule="auto"/>
        <w:rPr>
          <w:sz w:val="20"/>
          <w:szCs w:val="20"/>
          <w:color w:val="auto"/>
        </w:rPr>
      </w:pPr>
      <w:r>
        <w:rPr>
          <w:rFonts w:ascii="Times New Roman" w:cs="Times New Roman" w:eastAsia="Times New Roman" w:hAnsi="Times New Roman"/>
          <w:sz w:val="18"/>
          <w:szCs w:val="18"/>
          <w:color w:val="auto"/>
        </w:rPr>
        <w:t>Sport (traditional and esports) is the great equalizer — bringing people from different backgrounds and cultures together, the camaraderie, the passion for their team, the collective grind at the competitive professional level. It is an unshakable desire for us to entertain, inspire and connect fans by creating transformative experiences. This is our company mission, our purpose, our originality and what keeps us going.</w:t>
      </w:r>
    </w:p>
    <w:p>
      <w:pPr>
        <w:spacing w:after="0" w:line="102" w:lineRule="exact"/>
        <w:rPr>
          <w:sz w:val="20"/>
          <w:szCs w:val="20"/>
          <w:color w:val="auto"/>
        </w:rPr>
      </w:pPr>
    </w:p>
    <w:p>
      <w:pPr>
        <w:ind w:left="1620" w:right="499" w:firstLine="360"/>
        <w:spacing w:after="0" w:line="254" w:lineRule="auto"/>
        <w:rPr>
          <w:sz w:val="20"/>
          <w:szCs w:val="20"/>
          <w:color w:val="auto"/>
        </w:rPr>
      </w:pPr>
      <w:r>
        <w:rPr>
          <w:rFonts w:ascii="Times New Roman" w:cs="Times New Roman" w:eastAsia="Times New Roman" w:hAnsi="Times New Roman"/>
          <w:sz w:val="18"/>
          <w:szCs w:val="18"/>
          <w:color w:val="auto"/>
        </w:rPr>
        <w:t>NIP Group is rooted in the love and passion of esports and competition. We have different backgrounds, but we came to a mutual appreciation along almost the same path. (On a personal note, the fact that we are both major Manchester United fans only strengthens our alignment and common business mindset.) Today, growing esports into a generational audience worldwide is what we are busy doing. In January 2023, we completed the largest merger in the history of the esports industry. We are pleased to introduce you to NIP Group, the joint forces of Ninjas in Pyjamas, the legendary Swedish esports brand, and ESV5, one of the largest digital sports groups in China. This is a new era in the esports industry and we are excited to share our vision with you.</w:t>
      </w:r>
    </w:p>
    <w:p>
      <w:pPr>
        <w:spacing w:after="0" w:line="124" w:lineRule="exact"/>
        <w:rPr>
          <w:sz w:val="20"/>
          <w:szCs w:val="20"/>
          <w:color w:val="auto"/>
        </w:rPr>
      </w:pPr>
    </w:p>
    <w:p>
      <w:pPr>
        <w:ind w:left="1620" w:right="539" w:firstLine="360"/>
        <w:spacing w:after="0" w:line="254" w:lineRule="auto"/>
        <w:rPr>
          <w:sz w:val="20"/>
          <w:szCs w:val="20"/>
          <w:color w:val="auto"/>
        </w:rPr>
      </w:pPr>
      <w:r>
        <w:rPr>
          <w:rFonts w:ascii="Times New Roman" w:cs="Times New Roman" w:eastAsia="Times New Roman" w:hAnsi="Times New Roman"/>
          <w:sz w:val="18"/>
          <w:szCs w:val="18"/>
          <w:color w:val="auto"/>
        </w:rPr>
        <w:t>Sometimes a plant can remarkably take root and grow from a fissure in a rock. Even under extraordinary conditions, determination and a strong vision, the plant can even flourish and become a tree of resilience. Like the remarkable plant, we have had obstacles to overcome. In spite of where we are now — a leading esports organization with a global footprint in the world — the conditions to create a thriving company were not always optimal. NIP Group Co-CEO Mario arrived on the esports scene just two years before the recent global pandemic. Just a few years earlier, Co-CEO Hicham had taken over the helm of Ninjas in Pyjamas and embarked on the mission to resuscitate the organization. Our actions have proven that the esports industry is indeed resilient when nurtured.</w:t>
      </w:r>
    </w:p>
    <w:p>
      <w:pPr>
        <w:spacing w:after="0" w:line="124" w:lineRule="exact"/>
        <w:rPr>
          <w:sz w:val="20"/>
          <w:szCs w:val="20"/>
          <w:color w:val="auto"/>
        </w:rPr>
      </w:pPr>
    </w:p>
    <w:p>
      <w:pPr>
        <w:ind w:left="1620" w:right="459" w:firstLine="360"/>
        <w:spacing w:after="0" w:line="255" w:lineRule="auto"/>
        <w:rPr>
          <w:sz w:val="20"/>
          <w:szCs w:val="20"/>
          <w:color w:val="auto"/>
        </w:rPr>
      </w:pPr>
      <w:r>
        <w:rPr>
          <w:rFonts w:ascii="Times New Roman" w:cs="Times New Roman" w:eastAsia="Times New Roman" w:hAnsi="Times New Roman"/>
          <w:sz w:val="18"/>
          <w:szCs w:val="18"/>
          <w:color w:val="auto"/>
        </w:rPr>
        <w:t>Esports have the power to change the world, and we at NIP Group have a responsibility to continue to develop the industry in a sustainable way. We are committed to being pioneers and encouraging the younger generation of entrepreneurs to join in and experience the excitement. Through the example of our own high standards, we want to influence the mainstream to continue to embrace this rapidly growing industry and recognize the potential it holds for the future and for youth. We are confident in our ability to create a blueprint, paving the way for a positive career path for younger generations, whether they choose to be players, staff, or stakeholders.</w:t>
      </w:r>
    </w:p>
    <w:p>
      <w:pPr>
        <w:spacing w:after="0" w:line="108" w:lineRule="exact"/>
        <w:rPr>
          <w:sz w:val="20"/>
          <w:szCs w:val="20"/>
          <w:color w:val="auto"/>
        </w:rPr>
      </w:pPr>
    </w:p>
    <w:p>
      <w:pPr>
        <w:ind w:left="1620" w:right="579" w:firstLine="360"/>
        <w:spacing w:after="0" w:line="266" w:lineRule="auto"/>
        <w:rPr>
          <w:sz w:val="20"/>
          <w:szCs w:val="20"/>
          <w:color w:val="auto"/>
        </w:rPr>
      </w:pPr>
      <w:r>
        <w:rPr>
          <w:rFonts w:ascii="Times New Roman" w:cs="Times New Roman" w:eastAsia="Times New Roman" w:hAnsi="Times New Roman"/>
          <w:sz w:val="18"/>
          <w:szCs w:val="18"/>
          <w:color w:val="auto"/>
        </w:rPr>
        <w:t>In conclusion, NIP Group is a company with a rich history, creating future champions. We welcome you to join forces with us, to generate and enjoy the same passion with hundreds of millions of fans worldwide.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Sincerely,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NIP Group Team</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Co-founders Mario Ho and Hicham Chahine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ROSPECTUS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p>
    <w:p>
      <w:pPr>
        <w:spacing w:after="0" w:line="173"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and related notes appearing elsewhere in this prospectus. In addition to this summary, we urge you to read the entire prospectus carefully, especially the risks of investing in the ADSs discussed under “Risk Factors,” before deciding whether to invest in the ADSs. This prospectus contains information from an industry report commissioned by us in February 2023, prepared by Frost &amp; Sullivan to provide information regarding our industry and our market position. We refer to this report as the “Frost &amp; Sullivan Report.” Certain data in the Frost &amp; Sullivan Report was supported by Newzoo. Both Frost &amp; Sullivan and Newzoo are independent research firms.</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1280" w:right="819" w:firstLine="360"/>
        <w:spacing w:after="0" w:line="282" w:lineRule="auto"/>
        <w:rPr>
          <w:sz w:val="20"/>
          <w:szCs w:val="20"/>
          <w:color w:val="auto"/>
        </w:rPr>
      </w:pPr>
      <w:r>
        <w:rPr>
          <w:rFonts w:ascii="Times New Roman" w:cs="Times New Roman" w:eastAsia="Times New Roman" w:hAnsi="Times New Roman"/>
          <w:sz w:val="18"/>
          <w:szCs w:val="18"/>
          <w:color w:val="auto"/>
        </w:rPr>
        <w:t>Our mission is to create transformative esports experiences that entertain, inspire and connect fans across the globe.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vision is to become the premier esports organization in the world.</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We are a leading esports organization with the most expansive global footprint by virtue of our operations across Asia, Europe and South America, according to the Frost &amp; Sullivan Report. Among the top ten esports titles in the world in terms of prize pool, our wins in tier-1 world tournaments in CS:GO, Honor of Kings, Rainbow Six and FIFA represent more unique game titles with top-tier wins than any other esports organization as of January 31, 2023, according to the Frost &amp; Sullivan Report. We were founded based on a passion for esports and belief that esports can create the same types of historical and legendary experiences and memories as traditional sports have for the past century.</w:t>
      </w:r>
    </w:p>
    <w:p>
      <w:pPr>
        <w:spacing w:after="0" w:line="114" w:lineRule="exact"/>
        <w:rPr>
          <w:sz w:val="20"/>
          <w:szCs w:val="20"/>
          <w:color w:val="auto"/>
        </w:rPr>
      </w:pPr>
    </w:p>
    <w:p>
      <w:pPr>
        <w:ind w:left="1280" w:right="559" w:firstLine="360"/>
        <w:spacing w:after="0" w:line="244" w:lineRule="auto"/>
        <w:rPr>
          <w:sz w:val="20"/>
          <w:szCs w:val="20"/>
          <w:color w:val="auto"/>
        </w:rPr>
      </w:pPr>
      <w:r>
        <w:rPr>
          <w:rFonts w:ascii="Times New Roman" w:cs="Times New Roman" w:eastAsia="Times New Roman" w:hAnsi="Times New Roman"/>
          <w:sz w:val="18"/>
          <w:szCs w:val="18"/>
          <w:color w:val="auto"/>
        </w:rPr>
        <w:t>We operate two esports brands: Ninjas in Pyjamas and eStar Gaming. Ninjas in Pyjamas, our PC/console esports brand, was founded in 2000 in Sweden, while eStar Gaming, our mobile esports brand, was founded in 2014 in China. Competing at the highest levels in multiple esports titles over two decades, Ninjas in Pyjamas has earned recognition as one of the most storied, recognized and iconic brands in the esports world. At the same time, eStar Gaming, our mobile esports brand, is the top team in the Honor of Kings King Pro League (KPL), one of the most successful teams in KPL history in terms of titles and widely considered to be the most successful mobile esports team in the world, according to the</w:t>
      </w:r>
    </w:p>
    <w:p>
      <w:pPr>
        <w:spacing w:after="0" w:line="3" w:lineRule="exact"/>
        <w:rPr>
          <w:sz w:val="20"/>
          <w:szCs w:val="20"/>
          <w:color w:val="auto"/>
        </w:rPr>
      </w:pPr>
    </w:p>
    <w:p>
      <w:pPr>
        <w:ind w:left="1280" w:right="799"/>
        <w:spacing w:after="0"/>
        <w:rPr>
          <w:sz w:val="20"/>
          <w:szCs w:val="20"/>
          <w:color w:val="auto"/>
        </w:rPr>
      </w:pPr>
      <w:r>
        <w:rPr>
          <w:rFonts w:ascii="Times New Roman" w:cs="Times New Roman" w:eastAsia="Times New Roman" w:hAnsi="Times New Roman"/>
          <w:sz w:val="18"/>
          <w:szCs w:val="18"/>
          <w:color w:val="auto"/>
        </w:rPr>
        <w:t>Frost &amp; Sullivan Report. We have a comprehensive portfolio of esports teams, competing at the highest level in video game titles such as League of Legends, CS: GO, Honor of Kings, Rainbow Six, Rocket League, Fortnite and Call of Duty Mobile.</w:t>
      </w:r>
    </w:p>
    <w:p>
      <w:pPr>
        <w:spacing w:after="0" w:line="117"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there is tremendous potential in what we refer to as the “esports+” model, with the first phase being competitive esports itself — building championship-caliber teams across the most popular esports titles. NIP Group is currently at the second phase of esports+, supplementing our competitive esports business with our talent management, event production, creative studios, and burgeoning advertising businesses to create a diverse and sustainable revenue stream driving our continued growth. Going forward, we believe that we are only limited by our imagination for the third phase of esports+, and are actively exploring opportunities in areas such as esports education and training, fan universe (B2C monetization and metaverse), digital collectibles, esports real estate and IP licensing. As of December 31, 2023, we have provided esports education related services to more than 12 educational institutions in cities including, among others, Guangzhou, Xi’an, Wuhan, Guiyang and Zhongshan, and we are aiming to bring our contents and services to 50 educational institutions across China by the end of 2025. We anticipate costs associated with our undertaking of esports education business to include staff costs as well as costs related to content development, professional training and brand building. We plan to finance our esports education business through capital contribution or shareholder loans. In addition, we have also entered into collaboration agreements with digital collectibles platforms in China, where digital collectibles featuring our IPs have been listed since November 2022. Costs associated with the collaborations consist mainly of the design, technical and operational service fees we paid to a third-party vendor for these digital collectibles. We incurred costs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2" w:lineRule="auto"/>
        <w:rPr>
          <w:sz w:val="20"/>
          <w:szCs w:val="20"/>
          <w:color w:val="auto"/>
        </w:rPr>
      </w:pPr>
      <w:r>
        <w:rPr>
          <w:rFonts w:ascii="Times New Roman" w:cs="Times New Roman" w:eastAsia="Times New Roman" w:hAnsi="Times New Roman"/>
          <w:sz w:val="18"/>
          <w:szCs w:val="18"/>
          <w:color w:val="auto"/>
        </w:rPr>
        <w:t>associated with digital collectibles of RMB95,400 in 2023. Aiming to create a global benchmark for esports+, we are also actively creating our proprietary IPs in the fields of fashion, art and metaverse. In 2022 and 2023, we launched over 20 IP collaborations with companies spanning the telecommunication, automobile, sportswear, and various other industries, introducing co-branded vehicles, peripherals, clothing, beauty products, beverages, and gift boxes. We also license companies to use the image, including AI and virtual image of our athletes for promotion. We are exploring new ways of IP collaborations leveraging our abundant resources, and expand into the fields of entertainment, education and tourism. To build our competitive edge, we are committed to give more unique attributes to our existing IPs, and will actively develop new IPs such as esports reality shows, series and movies, esports electronic festivals, exhibitions, fan arts and virtual idols, to meet the evolving market demand. As of the date of this prospectus, in addition to our current brand partners, we are negotiating potential collaborations with more than ten companies ranging over industries such as smart devices, energy drinks and dairy products, as well as companies with tourism and entertainment businesses. We expect to further expand our IP collaborations to 40 by 2025. We have not incurred any significant cost associated with our IP collaborations, nor do we expect there being material costs for our future initiatives.</w:t>
      </w:r>
    </w:p>
    <w:p>
      <w:pPr>
        <w:spacing w:after="0" w:line="33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Currently, we are focused on developing talent for both our esports teams and greater roster of online entertainers. On the esports side, we have combined Ninjas in Pyjamas’s 20-plus years of development experience as well as eStar Gaming’s demonstrated success in the burgeoning competitive mobile games market in the past five years. Our talent management business also focuses on developing esports athletes to become successful online entertainers, extending their success in the esports world further to the entertainment world. In 2020, Jackson Wang, one of the world’s most famous pop idols and one of the most followed male artists on Instagram, with approximately 33 million followers as of April 30, 2024, joined us as a partner and beneficial shareholder.</w:t>
      </w:r>
    </w:p>
    <w:p>
      <w:pPr>
        <w:spacing w:after="0" w:line="119" w:lineRule="exact"/>
        <w:rPr>
          <w:sz w:val="20"/>
          <w:szCs w:val="20"/>
          <w:color w:val="auto"/>
        </w:rPr>
      </w:pPr>
    </w:p>
    <w:p>
      <w:pPr>
        <w:ind w:left="1280" w:right="479" w:firstLine="360"/>
        <w:spacing w:after="0" w:line="258" w:lineRule="auto"/>
        <w:rPr>
          <w:sz w:val="20"/>
          <w:szCs w:val="20"/>
          <w:color w:val="auto"/>
        </w:rPr>
      </w:pPr>
      <w:r>
        <w:rPr>
          <w:rFonts w:ascii="Times New Roman" w:cs="Times New Roman" w:eastAsia="Times New Roman" w:hAnsi="Times New Roman"/>
          <w:sz w:val="18"/>
          <w:szCs w:val="18"/>
          <w:color w:val="auto"/>
        </w:rPr>
        <w:t>We experienced robust growth in our net revenues, which increased from US$65.8 million in 2022 to US$83.7 million in 2023. Our gross profit also increased from US$3.7 million in 2022 to US$7.2 million in 2023, representing gross profit margins of 5.7% and 8.6% for the same years, respectively.</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believe the following strengths contribute to our success:</w:t>
      </w:r>
    </w:p>
    <w:p>
      <w:pPr>
        <w:spacing w:after="0" w:line="117" w:lineRule="exact"/>
        <w:rPr>
          <w:sz w:val="20"/>
          <w:szCs w:val="20"/>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esports organization with most expansive global footprint;</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portfolio of video game titles competed at highest level of competition;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and loyal fan base;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talent development system across esports and entertainment;</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revenue streams driving sustainable growth;</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success in acquisition and integration;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passionate management team supported by marquee shareholders.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intend to pursue the following strategies to achieve our mission and vision:</w:t>
      </w:r>
    </w:p>
    <w:p>
      <w:pPr>
        <w:spacing w:after="0" w:line="117" w:lineRule="exact"/>
        <w:rPr>
          <w:sz w:val="20"/>
          <w:szCs w:val="20"/>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esports presence across geographies and titles;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talent management capabilities to expand roster and influence;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specialized content creation and advertising offerings into esports world;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fan engagement and monetization;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 and investment opportunities;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cutting edge for new esports mediums;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growth along esports+ model.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Esports refers to a competitive and organized video gameplay in either online or offline and multi-</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player or single-player format, with a specific goal or prize, such as winning a championship title or prize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money. According to the Frost &amp; Sullivan Report, the market size of esports gaming industry has</w:t>
      </w:r>
    </w:p>
    <w:p>
      <w:pPr>
        <w:ind w:left="1280"/>
        <w:spacing w:after="0" w:line="234" w:lineRule="auto"/>
        <w:rPr>
          <w:sz w:val="20"/>
          <w:szCs w:val="20"/>
          <w:color w:val="auto"/>
        </w:rPr>
      </w:pPr>
      <w:r>
        <w:rPr>
          <w:rFonts w:ascii="Times New Roman" w:cs="Times New Roman" w:eastAsia="Times New Roman" w:hAnsi="Times New Roman"/>
          <w:sz w:val="18"/>
          <w:szCs w:val="18"/>
          <w:color w:val="auto"/>
        </w:rPr>
        <w:t>experienced significant increase at a CAGR of 15.2% from US$29.8 billion in 2017 to US$52.6 billion in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2021, and is expected to further increase at a CAGR of 12.1% from US$57.9 billion in 2022 to</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US$102.4 billion in 2027. This demonstrates the growing popularity of the esports industry as well as its</w:t>
      </w:r>
    </w:p>
    <w:p>
      <w:pPr>
        <w:ind w:left="1280"/>
        <w:spacing w:after="0" w:line="234" w:lineRule="auto"/>
        <w:rPr>
          <w:sz w:val="20"/>
          <w:szCs w:val="20"/>
          <w:color w:val="auto"/>
        </w:rPr>
      </w:pPr>
      <w:r>
        <w:rPr>
          <w:rFonts w:ascii="Times New Roman" w:cs="Times New Roman" w:eastAsia="Times New Roman" w:hAnsi="Times New Roman"/>
          <w:sz w:val="18"/>
          <w:szCs w:val="18"/>
          <w:color w:val="auto"/>
        </w:rPr>
        <w:t>vast commercialization opportunities, among which China, Europe and South America where we have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operations in possess particular growth potential.</w:t>
      </w:r>
    </w:p>
    <w:p>
      <w:pPr>
        <w:spacing w:after="0" w:line="124" w:lineRule="exact"/>
        <w:rPr>
          <w:sz w:val="20"/>
          <w:szCs w:val="20"/>
          <w:color w:val="auto"/>
        </w:rPr>
      </w:pPr>
    </w:p>
    <w:p>
      <w:pPr>
        <w:jc w:val="both"/>
        <w:ind w:left="1280" w:right="599" w:firstLine="360"/>
        <w:spacing w:after="0" w:line="250" w:lineRule="auto"/>
        <w:rPr>
          <w:sz w:val="20"/>
          <w:szCs w:val="20"/>
          <w:color w:val="auto"/>
        </w:rPr>
      </w:pPr>
      <w:r>
        <w:rPr>
          <w:rFonts w:ascii="Times New Roman" w:cs="Times New Roman" w:eastAsia="Times New Roman" w:hAnsi="Times New Roman"/>
          <w:sz w:val="18"/>
          <w:szCs w:val="18"/>
          <w:color w:val="auto"/>
        </w:rPr>
        <w:t>The global esports market is driven by rising popularity of video games, global policies encouraging esports development, increasing numbers of brands and sponsors engaged in the esports industry, growing revenue streams from broadcasting and media rights, and the expansion of esports into new areas such as esports education and training. These factors contribute to a dynamic and iterative esports industry, which fosters the growth and evolution of the esports business model.</w:t>
      </w:r>
    </w:p>
    <w:p>
      <w:pPr>
        <w:spacing w:after="0" w:line="110" w:lineRule="exact"/>
        <w:rPr>
          <w:sz w:val="20"/>
          <w:szCs w:val="20"/>
          <w:color w:val="auto"/>
        </w:rPr>
      </w:pPr>
    </w:p>
    <w:p>
      <w:pPr>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According to the Frost &amp; Sullivan Report, driven by increased tournament viewership and continuous government support, the global esports club market in terms of revenue grew at a CAGR of 26.6% from US$0.5 billion in 2017 to US$1.4 billion in 2021, and is expected to continue to grow at a CAGR of 18.8% from 2022 to 2027 to US$3.9 billion. Similarly, the global esports talent management market has grown at a CAGR of 63.2% from US$0.3 billion in 2017 to US$2.3 billion in 2021, and is expected to continue to grow at a CAGR of 23.4% from 2022 to 2027, to US$8.2 billion. The global esports event production market has grown at a CAGR of 23.4% from US$0.3 billion in 2017 to US$0.6 billion in 2021, and is expected to continue to grow at a CAGR of 27.3% from 2022 to 2027 to US$2.7 billion.</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80" w:right="659" w:firstLine="360"/>
        <w:spacing w:after="0" w:line="245" w:lineRule="auto"/>
        <w:rPr>
          <w:sz w:val="20"/>
          <w:szCs w:val="20"/>
          <w:color w:val="auto"/>
        </w:rPr>
      </w:pPr>
      <w:r>
        <w:rPr>
          <w:rFonts w:ascii="Times New Roman" w:cs="Times New Roman" w:eastAsia="Times New Roman" w:hAnsi="Times New Roman"/>
          <w:sz w:val="18"/>
          <w:szCs w:val="18"/>
          <w:color w:val="auto"/>
        </w:rPr>
        <w:t>Investing in our ADSs involves a high degree of risk. You should carefully consider the risks and uncertainties summarized below, the risks described under the “Risk Factors” section and the other information contained in this prospectus before you decide whether to purchase our ADSs. While entities and businesses in Hong Kong operate under different sets of laws from mainland China, the legal risks associated with being based in and having operations in mainland China could apply to our presence in Hong Kong, if the laws applicable to mainland China become applicable to entities and businesses in Hong Kong in the future, which could be at any time and with no advance notice.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08" w:lineRule="exact"/>
        <w:rPr>
          <w:sz w:val="20"/>
          <w:szCs w:val="20"/>
          <w:color w:val="auto"/>
        </w:rPr>
      </w:pPr>
    </w:p>
    <w:p>
      <w:pPr>
        <w:ind w:left="1820" w:right="65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market perception and strength of our brand. If we are unable to maintain and enhance our brand, the fan base and sponsorship we attract as well as our prospective consumer engagement may decline.</w:t>
      </w:r>
    </w:p>
    <w:p>
      <w:pPr>
        <w:spacing w:after="0" w:line="54"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esports brand spanning Asia, Europe and South America and continuing to expand our global footprint, we are subject to a number of risks regarding our international operations.</w:t>
      </w:r>
    </w:p>
    <w:p>
      <w:pPr>
        <w:spacing w:after="0" w:line="40"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 Asia is in the early stage of development with a relatively limited operating history. We are also subject to risks associated with operating in a rapidly developing industry and a relatively new market.</w:t>
      </w:r>
    </w:p>
    <w:p>
      <w:pPr>
        <w:spacing w:after="0" w:line="54" w:lineRule="exact"/>
        <w:rPr>
          <w:rFonts w:ascii="Times New Roman" w:cs="Times New Roman" w:eastAsia="Times New Roman" w:hAnsi="Times New Roman"/>
          <w:sz w:val="18"/>
          <w:szCs w:val="18"/>
          <w:color w:val="auto"/>
        </w:rPr>
      </w:pPr>
    </w:p>
    <w:p>
      <w:pPr>
        <w:ind w:left="1820" w:right="47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history of operating as an integrated business. We may face challenges integrating our operations, services and personnel and may be unable to achieve the anticipated synergies from the combination. Our historical operating and financial results may not be indicative of future performance, which makes it difficult to predict our future business prospects and financial performance.</w:t>
      </w:r>
    </w:p>
    <w:p>
      <w:pPr>
        <w:spacing w:after="0" w:line="48" w:lineRule="exact"/>
        <w:rPr>
          <w:rFonts w:ascii="Times New Roman" w:cs="Times New Roman" w:eastAsia="Times New Roman" w:hAnsi="Times New Roman"/>
          <w:sz w:val="18"/>
          <w:szCs w:val="18"/>
          <w:color w:val="auto"/>
        </w:rPr>
      </w:pPr>
    </w:p>
    <w:p>
      <w:pPr>
        <w:ind w:left="1820" w:right="499" w:hanging="182"/>
        <w:spacing w:after="0" w:line="275"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investments in and acquisitions of complementary assets and businesses may expose us to potential risks, and may result in earnings dilution and significant diversion of management attention.</w:t>
      </w:r>
    </w:p>
    <w:p>
      <w:pPr>
        <w:spacing w:after="0" w:line="268"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operate are highly competitive. If we are unable to compete effectively, our business and operating results may be materially and adversely affected.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67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826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in the past and we may continue to experience losses in the future.</w:t>
      </w:r>
    </w:p>
    <w:p>
      <w:pPr>
        <w:spacing w:after="0" w:line="11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may be materially and adversely affected if we are unable to maintain our cooperative relationships with financing service providers.</w:t>
      </w:r>
    </w:p>
    <w:p>
      <w:pPr>
        <w:spacing w:after="0" w:line="53"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execute our strategies, sustain our growth, or deal with the increasing complexity of our business.</w:t>
      </w:r>
    </w:p>
    <w:p>
      <w:pPr>
        <w:spacing w:after="0" w:line="40" w:lineRule="exact"/>
        <w:rPr>
          <w:rFonts w:ascii="Times New Roman" w:cs="Times New Roman" w:eastAsia="Times New Roman" w:hAnsi="Times New Roman"/>
          <w:sz w:val="18"/>
          <w:szCs w:val="18"/>
          <w:color w:val="auto"/>
        </w:rPr>
      </w:pPr>
    </w:p>
    <w:p>
      <w:pPr>
        <w:ind w:left="1820" w:right="55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anticipate the evolving game popularity or viewership preferences, we may not be able to remain competitive in the respective business segments, and our business and prospects may be materially and adversely affected.</w:t>
      </w:r>
    </w:p>
    <w:p>
      <w:pPr>
        <w:spacing w:after="0" w:line="6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with public and consumer tastes and preferences for entertainment could negatively impact demand for our entertainment offerings, which could have an adverse effect on our business, financial condition, results of operations and prospects.</w:t>
      </w:r>
    </w:p>
    <w:p>
      <w:pPr>
        <w:spacing w:after="0" w:line="54" w:lineRule="exact"/>
        <w:rPr>
          <w:rFonts w:ascii="Times New Roman" w:cs="Times New Roman" w:eastAsia="Times New Roman" w:hAnsi="Times New Roman"/>
          <w:sz w:val="18"/>
          <w:szCs w:val="18"/>
          <w:color w:val="auto"/>
        </w:rPr>
      </w:pPr>
    </w:p>
    <w:p>
      <w:pPr>
        <w:ind w:left="1820" w:right="79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our existing and potential customers are attracted to other alternatives available within the broader esports and entertainment industry, we would be materially and adversely impacted.</w:t>
      </w:r>
    </w:p>
    <w:p>
      <w:pPr>
        <w:spacing w:after="0" w:line="6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brought about by the prolonged COVID-19 pandemic has impacted and could in the future have a material adverse impact on our business, financial condition, results of operations and cash flow positions.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21" w:lineRule="exact"/>
        <w:rPr>
          <w:sz w:val="20"/>
          <w:szCs w:val="20"/>
          <w:color w:val="auto"/>
        </w:rPr>
      </w:pPr>
    </w:p>
    <w:p>
      <w:pPr>
        <w:ind w:left="1820" w:right="419" w:hanging="182"/>
        <w:spacing w:after="0" w:line="25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involves unique risks to investors and investors may never hold equity interests in our Swedish and Chinese operating companies. Chinese regulatory authorities could disallow our structure which, in turn, would likely result in a material change in our operations or the value of our ADSs. In such an event, the value of our ADSs you invest in could significantly decline or become worthless. For details, see “Risk Factors — Risks Related to Doing Business in China — PRC regulatory authorities could disallow our holding company structure.”</w:t>
      </w:r>
    </w:p>
    <w:p>
      <w:pPr>
        <w:spacing w:after="0" w:line="65" w:lineRule="exact"/>
        <w:rPr>
          <w:rFonts w:ascii="Times New Roman" w:cs="Times New Roman" w:eastAsia="Times New Roman" w:hAnsi="Times New Roman"/>
          <w:sz w:val="18"/>
          <w:szCs w:val="18"/>
          <w:color w:val="auto"/>
        </w:rPr>
      </w:pPr>
    </w:p>
    <w:p>
      <w:pPr>
        <w:ind w:left="1820" w:right="459" w:hanging="182"/>
        <w:spacing w:after="0" w:line="253"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significant authority in regulating our operations and may influence or intervene in our operations at any time. Actions by the PRC government to exert more control over offerings conducted overseas by, and foreign investment in, China-based issuers could result in a material change in our operations, and significantly limit or completely hinder our ability to offer or continue to offer securities to investors and cause the value of such securities to significantly decline or be worthless. Implementation of industry-wide regulations in this nature may also cause the value of such securities to significantly decline or become worthless. For details, see “Risk Factors —  Risks Related to Doing Business in China — The PRC government has significant oversight and discretion over the conduct of our business, and it may intervene or influence our operations at any time, which could result in a material adverse change in our operations and/or the value of our ADSs.”</w:t>
      </w:r>
    </w:p>
    <w:p>
      <w:pPr>
        <w:spacing w:after="0" w:line="302" w:lineRule="exact"/>
        <w:rPr>
          <w:rFonts w:ascii="Times New Roman" w:cs="Times New Roman" w:eastAsia="Times New Roman" w:hAnsi="Times New Roman"/>
          <w:sz w:val="18"/>
          <w:szCs w:val="18"/>
          <w:color w:val="auto"/>
        </w:rPr>
      </w:pPr>
    </w:p>
    <w:p>
      <w:pPr>
        <w:ind w:left="1820" w:right="439" w:hanging="182"/>
        <w:spacing w:after="0" w:line="257"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our operations are located in China. Accordingly, our business, prospects, financial condition and results of operations may be affected to a significant degree by political, economic and social conditions in China generally. For details, see “Risk Factors — Risks Related to Doing Business in China — Changes in China’s economic, political or social conditions or government policies could have a material adverse effect on our business, financial conditions and results of operations.”</w:t>
      </w:r>
    </w:p>
    <w:p>
      <w:pPr>
        <w:spacing w:after="0" w:line="295"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PRC government authorities may be required in connection with this offering under PRC law, and if required, we cannot predict whether or for how long we will be able to obtain such approval.</w:t>
      </w:r>
    </w:p>
    <w:p>
      <w:pPr>
        <w:spacing w:after="0" w:line="54" w:lineRule="exact"/>
        <w:rPr>
          <w:rFonts w:ascii="Times New Roman" w:cs="Times New Roman" w:eastAsia="Times New Roman" w:hAnsi="Times New Roman"/>
          <w:sz w:val="18"/>
          <w:szCs w:val="18"/>
          <w:color w:val="auto"/>
        </w:rPr>
      </w:pPr>
    </w:p>
    <w:p>
      <w:pPr>
        <w:ind w:left="1820" w:right="519" w:hanging="182"/>
        <w:spacing w:after="0" w:line="25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details, see “Risk Factors — Risks Related to Doing Business in China — Any failure by us to meet with the continue developing PRC legal system could adversely affect us.”</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PRC</w:t>
      </w:r>
    </w:p>
    <w:p>
      <w:pPr>
        <w:spacing w:after="0" w:line="27" w:lineRule="exact"/>
        <w:rPr>
          <w:rFonts w:ascii="Times New Roman" w:cs="Times New Roman" w:eastAsia="Times New Roman" w:hAnsi="Times New Roman"/>
          <w:sz w:val="18"/>
          <w:szCs w:val="18"/>
          <w:color w:val="auto"/>
        </w:rPr>
      </w:pPr>
    </w:p>
    <w:p>
      <w:pPr>
        <w:jc w:val="both"/>
        <w:ind w:left="18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governing esports and internet-related service businesses and companies, and any lack of requisite approvals, licenses or permits applicable to our business may have material adverse effect on our business and results of operations.</w:t>
      </w:r>
    </w:p>
    <w:p>
      <w:pPr>
        <w:spacing w:after="0" w:line="91" w:lineRule="exact"/>
        <w:rPr>
          <w:rFonts w:ascii="Times New Roman" w:cs="Times New Roman" w:eastAsia="Times New Roman" w:hAnsi="Times New Roman"/>
          <w:sz w:val="18"/>
          <w:szCs w:val="18"/>
          <w:color w:val="auto"/>
        </w:rPr>
      </w:pPr>
    </w:p>
    <w:p>
      <w:pPr>
        <w:ind w:left="1820" w:right="399" w:hanging="182"/>
        <w:spacing w:after="0" w:line="25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our cash or assets in the business are in mainland China or Hong Kong or a mainland China or Hong Kong entity, the funds or assets may not be available to fund operations or for other use outside of mainland China or Hong Kong due to the imposition of restrictions and limitations on, the ability of NIP Group Inc. or its subsidiaries to transfer cash or assets. While there are currently no such restrictions on foreign exchange and our ability to transfer cash or assets between NIP Group Inc.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the imposition of restrictions and limitations on our ability to transfer funds or assets by the PRC government. Furthermore, we cannot assure you that the PRC government will not impose restrictions on NIP Group Inc. or our subsidiaries to transfer or distribute cash within the organization, which could result in an inability of or prohibition on making transfers or distributions to entities outside of mainland China and Hong Kong. For details, see “Risk Factors — Risks Related to Doing Business in China — 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85" w:lineRule="exact"/>
        <w:rPr>
          <w:rFonts w:ascii="Times New Roman" w:cs="Times New Roman" w:eastAsia="Times New Roman" w:hAnsi="Times New Roman"/>
          <w:sz w:val="18"/>
          <w:szCs w:val="18"/>
          <w:color w:val="auto"/>
        </w:rPr>
      </w:pPr>
    </w:p>
    <w:p>
      <w:pPr>
        <w:ind w:left="1820" w:right="399" w:hanging="182"/>
        <w:spacing w:after="0" w:line="25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2021, the SEC adopted final amendments implementing the disclosure and submission requirements under the HFCA Act. Under such rules, an issuer that has filed an annual report containing an audit report issued by a registered public accounting firm that the PCAOB has determined it is unable to inspect or investigate completely because of a position taken by an authority in the foreign jurisdiction will be identified by the SEC as a “Commission-Identified Issuer.” The SEC will impose a trading prohibition on an issuer after it is identified as a Commission- Identified Issuer for three consecutive years. If we are identified as a Commission-Identified Issuer and has a “non-inspection” year, there is no assurance that it will be able to take remedial measures in a timely manner. Our auditor, Marcum Asia CPAs LLP, an independent registered public accounting firm headquartered in Manhattan, New York, was not included in the determinations made by the Public Company Accounting Oversight Board (United States), or the PCAOB, on December 16, 2021. Our auditor is currently subject to PCAOB inspections and has been inspected by the PCAOB on a regular basis with the latest inspection in 2023. Although we believe that the Holding Foreign Companies Accountable Act and the related regulations do not currently affect us, we cannot assure you that there will not be any further implementations and interpretations of the Holding Foreign Companies Accountable Act or the related regulations, which might pose regulatory risks to and impose restrictions on us because of our operations in mainland China. Recent developments with respect to audits of China-based companies, create uncertainty about the ability of their auditor to fully cooperate with the PCAOB’s request for audit workpapers without the approval of the Chinese authorities. As a result, our investors may be deprived of the benefits of PCAOB’s oversight of our auditor of through such inspections. For more details, see “Risk Factors — Risks Related to Doing Business in China — 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200" w:lineRule="exact"/>
        <w:rPr>
          <w:sz w:val="20"/>
          <w:szCs w:val="20"/>
          <w:color w:val="auto"/>
        </w:rPr>
      </w:pP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21" w:lineRule="exact"/>
        <w:rPr>
          <w:sz w:val="20"/>
          <w:szCs w:val="20"/>
          <w:color w:val="auto"/>
        </w:rPr>
      </w:pPr>
    </w:p>
    <w:p>
      <w:pPr>
        <w:ind w:left="1820" w:right="77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ADSs may not develop and the trading price for our ADSs may fluctuate significantly.</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is likely to be volatile, which could result in substantial losses to investors.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71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94"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the ADSs in the public market could cause the price of the ADSs to decline.</w:t>
      </w:r>
    </w:p>
    <w:p>
      <w:pPr>
        <w:spacing w:after="0" w:line="80"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your right to vote your ordinary shares.</w:t>
      </w:r>
    </w:p>
    <w:p>
      <w:pPr>
        <w:spacing w:after="0" w:line="67"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applicable to United States domestic public companies.</w:t>
      </w:r>
    </w:p>
    <w:p>
      <w:pPr>
        <w:spacing w:after="0" w:line="8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48" w:lineRule="exact"/>
        <w:rPr>
          <w:sz w:val="20"/>
          <w:szCs w:val="20"/>
          <w:color w:val="auto"/>
        </w:rPr>
      </w:pPr>
    </w:p>
    <w:p>
      <w:pPr>
        <w:ind w:left="1280" w:right="479" w:firstLine="360"/>
        <w:spacing w:after="0" w:line="263" w:lineRule="auto"/>
        <w:rPr>
          <w:sz w:val="20"/>
          <w:szCs w:val="20"/>
          <w:color w:val="auto"/>
        </w:rPr>
      </w:pPr>
      <w:r>
        <w:rPr>
          <w:rFonts w:ascii="Times New Roman" w:cs="Times New Roman" w:eastAsia="Times New Roman" w:hAnsi="Times New Roman"/>
          <w:sz w:val="18"/>
          <w:szCs w:val="18"/>
          <w:color w:val="auto"/>
        </w:rPr>
        <w:t>NIP Group Inc. is not an operating company but a Cayman Islands holding company with operations primarily conducted through its wholly-owned subsidiaries in Sweden and China. Investors are purchasing beneficial equity interests in NIP Group Inc., the Cayman Islands holding company, and are not purchasing beneficial equity interests in any operating company. This holding company structure involves unique risks to investors. As a holding company, NIP Group Inc. may rely on dividends from its subsidiaries for cash requirements, including any payment of dividends to its shareholders. The ability of our subsidiaries to pay dividends or make distributions to NIP Group Inc. may be restricted by laws and regulations applicable to them or the debt they incur on their own behalf or the instruments governing their debt. In addition, PRC regulatory authorities could disallow this holding company structure and limit or hinder our ability to conduct our business through, receive dividends or distributions from, or transfer funds to, the operating companies or list on a U.S. or other foreign exchange, which could cause the value of our securities to significantly decline or become worthless. Unless otherwise stated or unless the context otherwise requires, references in this prospectus to (i) “NIP Group” are to NIP Group Inc., and (ii) “we,” “us,” “our,” “the Company” and “our company” are to NIP Group and its subsidiaries (and, in the context of describing our operations and consolidated financial information for the periods ended prior to the Restructuring, also to the VIE and its subsidiaries).</w:t>
      </w:r>
    </w:p>
    <w:p>
      <w:pPr>
        <w:spacing w:after="0" w:line="351"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Historically, we conducted our operations in China through our WFOE and through Wuhan ESVF, with which we, our WFOE, and the nominee shareholders of Wuhan ESVF entered into certain contractual arrangements. We did not own an equity interest in the VIE or its subsidiaries and relied on the contractual arrangements to direct the business operations of the VIE. Such structure enables investors to invest in China-based companies in sectors where foreign direct investment is prohibited or restricted under PRC laws and regulations. Following a restructuring in June 2023 (the “Restructuring”), the contractual arrangements were terminated and currently we do not have any VIE in China.</w:t>
      </w:r>
    </w:p>
    <w:p>
      <w:pPr>
        <w:spacing w:after="0" w:line="109" w:lineRule="exact"/>
        <w:rPr>
          <w:sz w:val="20"/>
          <w:szCs w:val="20"/>
          <w:color w:val="auto"/>
        </w:rPr>
      </w:pPr>
    </w:p>
    <w:p>
      <w:pPr>
        <w:ind w:left="1280" w:right="499" w:firstLine="360"/>
        <w:spacing w:after="0" w:line="297"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the names, places of incorporation and the proportion of ownership interests in our significant subsidiaries as of the date of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40" w:right="499" w:hanging="362"/>
        <w:spacing w:after="0" w:line="322" w:lineRule="auto"/>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Hokage Management Limited (formerly known as Mario Ho Holdings Limited), a limited liability company established in the British Virgin Islands, which is wholly owned by Mr. Mario Yau Kwan Ho.</w:t>
      </w:r>
    </w:p>
    <w:p>
      <w:pPr>
        <w:ind w:left="1640" w:right="739" w:hanging="362"/>
        <w:spacing w:after="0" w:line="302" w:lineRule="auto"/>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xiaOt Sun Holdings Limited, a limited liability company established in the British Virgin Islands, which is wholly owned by Mr. Liwei “xiaOt” Sun.</w:t>
      </w:r>
    </w:p>
    <w:p>
      <w:pPr>
        <w:spacing w:after="0" w:line="26"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Diglife AS, a company registered under the laws of Norway, which is 95.61% owned by Mr. Hicham Chahine.</w:t>
      </w:r>
    </w:p>
    <w:p>
      <w:pPr>
        <w:spacing w:after="0" w:line="82"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Tolsona Ltd., a company incorporated in the Republic of Cyprus, which is wholly owned by Mr. Felix Granander.</w:t>
      </w:r>
    </w:p>
    <w:p>
      <w:pPr>
        <w:spacing w:after="0" w:line="95"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Nyx Ventures AS, a company registered under the laws of Norway, which is wholly owned by Mr. Thomas Neslein.</w:t>
      </w:r>
    </w:p>
    <w:p>
      <w:pPr>
        <w:spacing w:after="0" w:line="82" w:lineRule="exact"/>
        <w:rPr>
          <w:rFonts w:ascii="Times New Roman" w:cs="Times New Roman" w:eastAsia="Times New Roman" w:hAnsi="Times New Roman"/>
          <w:sz w:val="14"/>
          <w:szCs w:val="14"/>
          <w:color w:val="auto"/>
        </w:rPr>
      </w:pPr>
    </w:p>
    <w:p>
      <w:pPr>
        <w:jc w:val="both"/>
        <w:ind w:left="1640" w:right="599" w:hanging="362"/>
        <w:spacing w:after="0" w:line="274" w:lineRule="auto"/>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Shanghai Yuyun Management Partnership (Limited Partnership) is a PRC limited partnership. The general partner of Shanghai Yuyun Management Partnership (Limited Partnership) is Wuhan Donghu Lvxin Garden Co. Ltd., a company wholly owned by Wuhan Jinlv Construction Investment (Group) Co. Ltd., which is directly wholly owned by Wuhan Tourism and Sports Group.</w:t>
      </w:r>
    </w:p>
    <w:p>
      <w:pPr>
        <w:spacing w:after="0" w:line="1" w:lineRule="exact"/>
        <w:rPr>
          <w:rFonts w:ascii="Times New Roman" w:cs="Times New Roman" w:eastAsia="Times New Roman" w:hAnsi="Times New Roman"/>
          <w:sz w:val="14"/>
          <w:szCs w:val="14"/>
          <w:color w:val="auto"/>
        </w:rPr>
      </w:pPr>
    </w:p>
    <w:p>
      <w:pPr>
        <w:ind w:left="1640" w:right="47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Wuhan Tourism and Sports Group is indirectly wholly owned by the Wuhan State-owned Assets Supervision and Administration Commission, or Wuhan SASAC, a sub-department of Wuhan municipal government.</w:t>
      </w:r>
    </w:p>
    <w:p>
      <w:pPr>
        <w:spacing w:after="0" w:line="39" w:lineRule="exact"/>
        <w:rPr>
          <w:rFonts w:ascii="Times New Roman" w:cs="Times New Roman" w:eastAsia="Times New Roman" w:hAnsi="Times New Roman"/>
          <w:sz w:val="14"/>
          <w:szCs w:val="14"/>
          <w:color w:val="auto"/>
        </w:rPr>
      </w:pPr>
    </w:p>
    <w:p>
      <w:pPr>
        <w:ind w:left="1640" w:right="539" w:hanging="362"/>
        <w:spacing w:after="0" w:line="302" w:lineRule="auto"/>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Consisting of 21 shareholders including the Company’s share incentive platform. None of the 21 shareholders is known to us to beneficially own 5% or more of our shares.</w:t>
      </w:r>
    </w:p>
    <w:p>
      <w:pPr>
        <w:spacing w:after="0" w:line="26" w:lineRule="exact"/>
        <w:rPr>
          <w:rFonts w:ascii="Times New Roman" w:cs="Times New Roman" w:eastAsia="Times New Roman" w:hAnsi="Times New Roman"/>
          <w:sz w:val="14"/>
          <w:szCs w:val="14"/>
          <w:color w:val="auto"/>
        </w:rPr>
      </w:pPr>
    </w:p>
    <w:p>
      <w:pPr>
        <w:ind w:left="1640" w:right="579" w:hanging="362"/>
        <w:spacing w:after="0" w:line="281" w:lineRule="auto"/>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Lei Zhang, our director, holds 32.67% of the equity interest in Hongli Culture Communications (Wuhan) Co., Ltd.; Wuhan Optics Valley Talent Venture Capital Partnership (limited partnership) holds 6.66% of the equity interest in Hongli Culture Communications (Wuhan) Co., Ltd.</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Securities Offering</w:t>
      </w:r>
    </w:p>
    <w:p>
      <w:pPr>
        <w:spacing w:after="0" w:line="16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prospectus, as advised by our PRC counsel, CM Law Firm, we believe that the permissions and approvals our subsidiaries are required to obtain from Chinese authorities to operate their business include, but are not limited to, the business license, and the commercial performance license. As of the date of this prospectus, our subsidiaries have obtained requisite permissions and licenses for our operations in the PRC, and we have not received any formal inquiry, notice, warning, sanction, or any regulatory objection by any governmental authorities of any requirement to obtain necessary permissions and approvals for our business operation, nor have we been denied of any permissions or approvals. However, we cannot assure you that relevant government agencies will not impose further requirements in the future. Further, we have developed and may in the future initiate new businesses, for which we may be required to obtain new licenses and permits, which could be time-consuming and complex. If we do not receive, complete or maintain necessary permissions or approvals, or we inadvertently conclude that such permissions or approvals are not required, or there is a change in the applicable laws, regulations, or interpretations such that we need to obtain permissions or approvals in the future, we may be subject to (i) investigations by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47" w:lineRule="auto"/>
        <w:rPr>
          <w:sz w:val="20"/>
          <w:szCs w:val="20"/>
          <w:color w:val="auto"/>
        </w:rPr>
      </w:pPr>
      <w:r>
        <w:rPr>
          <w:rFonts w:ascii="Times New Roman" w:cs="Times New Roman" w:eastAsia="Times New Roman" w:hAnsi="Times New Roman"/>
          <w:sz w:val="18"/>
          <w:szCs w:val="18"/>
          <w:color w:val="auto"/>
        </w:rPr>
        <w:t>competent regulatory authorities, (ii) fines or penalties, (iii) orders to suspend our operations and to rectify any non-compliance, or (iv) prohibitions from engaging in relevant businesses. For details, see “Risk Factors — Risks Related to Our Business and Industry — If we fail to obtain and maintain the requisite licenses, permits and approvals applicable to our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112"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w:t>
      </w:r>
    </w:p>
    <w:p>
      <w:pPr>
        <w:spacing w:after="0" w:line="1" w:lineRule="exact"/>
        <w:rPr>
          <w:sz w:val="20"/>
          <w:szCs w:val="20"/>
          <w:color w:val="auto"/>
        </w:rPr>
      </w:pPr>
    </w:p>
    <w:p>
      <w:pPr>
        <w:ind w:left="1280" w:right="619" w:hanging="2"/>
        <w:spacing w:after="0"/>
        <w:tabs>
          <w:tab w:leader="none" w:pos="1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listing abroad.</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On March 6, 2023, we received a confirmation from the China Cybersecurity Review Technology and</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Certification Center, or the CCRC, the institution designated by the CAC to receive application materials for</w:t>
      </w:r>
    </w:p>
    <w:p>
      <w:pPr>
        <w:ind w:left="1280"/>
        <w:spacing w:after="0" w:line="234" w:lineRule="auto"/>
        <w:rPr>
          <w:sz w:val="20"/>
          <w:szCs w:val="20"/>
          <w:color w:val="auto"/>
        </w:rPr>
      </w:pPr>
      <w:r>
        <w:rPr>
          <w:rFonts w:ascii="Times New Roman" w:cs="Times New Roman" w:eastAsia="Times New Roman" w:hAnsi="Times New Roman"/>
          <w:sz w:val="18"/>
          <w:szCs w:val="18"/>
          <w:color w:val="auto"/>
        </w:rPr>
        <w:t>cybersecurity review and conduct examinations of such applications, which confirmed to us that we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would not be required to apply for a cybersecurity review in connection with this offering and our proposed</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listing because we do not possess over one million users’ personal information. As a result, based on the</w:t>
      </w:r>
    </w:p>
    <w:p>
      <w:pPr>
        <w:ind w:left="1280"/>
        <w:spacing w:after="0" w:line="234" w:lineRule="auto"/>
        <w:rPr>
          <w:sz w:val="20"/>
          <w:szCs w:val="20"/>
          <w:color w:val="auto"/>
        </w:rPr>
      </w:pPr>
      <w:r>
        <w:rPr>
          <w:rFonts w:ascii="Times New Roman" w:cs="Times New Roman" w:eastAsia="Times New Roman" w:hAnsi="Times New Roman"/>
          <w:sz w:val="18"/>
          <w:szCs w:val="18"/>
          <w:color w:val="auto"/>
        </w:rPr>
        <w:t>fact that we are not in possession of more than one million users’ personal information, we are not subject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cybersecurity review by the CAC for this offering and our proposed listing. Further, we have not</w:t>
      </w:r>
    </w:p>
    <w:p>
      <w:pPr>
        <w:spacing w:after="0" w:line="7" w:lineRule="exact"/>
        <w:rPr>
          <w:sz w:val="20"/>
          <w:szCs w:val="20"/>
          <w:color w:val="auto"/>
        </w:rPr>
      </w:pPr>
    </w:p>
    <w:p>
      <w:pPr>
        <w:ind w:left="1280" w:right="419"/>
        <w:spacing w:after="0" w:line="245" w:lineRule="auto"/>
        <w:rPr>
          <w:sz w:val="20"/>
          <w:szCs w:val="20"/>
          <w:color w:val="auto"/>
        </w:rPr>
      </w:pPr>
      <w:r>
        <w:rPr>
          <w:rFonts w:ascii="Times New Roman" w:cs="Times New Roman" w:eastAsia="Times New Roman" w:hAnsi="Times New Roman"/>
          <w:sz w:val="18"/>
          <w:szCs w:val="18"/>
          <w:color w:val="auto"/>
        </w:rPr>
        <w:t>been subject to any penalties, fines, suspensions, investigations from any competent authorities for violation of the regulations or policies that have been issued by the CAC to date.</w:t>
      </w:r>
    </w:p>
    <w:p>
      <w:pPr>
        <w:spacing w:after="0" w:line="113"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If it is determined that we are required to undergo a cybersecurity review by the CAC or obtain permissions or approvals from the CAC for this offering for any reasons, including due to changes in applicable laws, regulations, or interpretations, we will take any and all necessary actions to be compliant with the then effective rules and regulations. In that case, if we are unable to clear the review, obtain permission or approval from the CAC, as then applicable, in a timely manner, or at all, we may be subject to government enforcement actions and investigations, fines, penalties, or suspension of our noncompliant operations, among other sanctions, which could materially and adversely affect our business and results of operations, and our ordinary shares and ADSs may decline in value or become worthless.</w:t>
      </w:r>
    </w:p>
    <w:p>
      <w:pPr>
        <w:spacing w:after="0" w:line="119" w:lineRule="exact"/>
        <w:rPr>
          <w:sz w:val="20"/>
          <w:szCs w:val="20"/>
          <w:color w:val="auto"/>
        </w:rPr>
      </w:pPr>
    </w:p>
    <w:p>
      <w:pPr>
        <w:ind w:left="1280" w:right="499" w:firstLine="360"/>
        <w:spacing w:after="0" w:line="243" w:lineRule="auto"/>
        <w:rPr>
          <w:sz w:val="20"/>
          <w:szCs w:val="20"/>
          <w:color w:val="auto"/>
        </w:rPr>
      </w:pPr>
      <w:r>
        <w:rPr>
          <w:rFonts w:ascii="Times New Roman" w:cs="Times New Roman" w:eastAsia="Times New Roman" w:hAnsi="Times New Roman"/>
          <w:sz w:val="18"/>
          <w:szCs w:val="18"/>
          <w:color w:val="auto"/>
        </w:rPr>
        <w:t>On February 17, 2023, the CSRC released several regulations regarding the filing requirements for overseas offerings and listings by domestic companies, including the Trial Administrative Measures of Overseas Securities Offering and Listing by Domestic Companies (the “Trial Measures”) together with five supporting guidelines (together with the Trial Measures, the “New Regulations on Filing”) and the New Regulations on Filing took effect on March 31, 2023. Pursuant to the New Regulations on Filing, we are required to complete the filing procedures with the CSRC in connection with this offering. For detailed information, see “Regulation — Regulations on M&amp;A and Overseas Listings.” Domestic companies that have submitted a valid application for an overseas offering and listing but have not received consent from the overseas regulator or overseas stock exchange before March 31, 2023, like us, is required to complete such filing with CSRC before completion of the overseas offering and listing.</w:t>
      </w:r>
    </w:p>
    <w:p>
      <w:pPr>
        <w:spacing w:after="0" w:line="118"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Based on the foregoing and as advised by our PRC counsel, CM Law Firm, since our registration statement on Form F-1 was not declared to be effective by the SEC prior to March 31, 2023, we believe we are required to complete the filing procedures with the CSRC for this offering prior to the completion of this offering pursuant to the New Regulations on Filing. The CSRC published the notification on our completion of the required filing procedures on May 30, 2024 for this offering.</w:t>
      </w:r>
    </w:p>
    <w:p>
      <w:pPr>
        <w:spacing w:after="0" w:line="114" w:lineRule="exact"/>
        <w:rPr>
          <w:sz w:val="20"/>
          <w:szCs w:val="20"/>
          <w:color w:val="auto"/>
        </w:rPr>
      </w:pPr>
    </w:p>
    <w:p>
      <w:pPr>
        <w:ind w:left="1280" w:right="539" w:firstLine="360"/>
        <w:spacing w:after="0" w:line="258" w:lineRule="auto"/>
        <w:rPr>
          <w:sz w:val="20"/>
          <w:szCs w:val="20"/>
          <w:color w:val="auto"/>
        </w:rPr>
      </w:pPr>
      <w:r>
        <w:rPr>
          <w:rFonts w:ascii="Times New Roman" w:cs="Times New Roman" w:eastAsia="Times New Roman" w:hAnsi="Times New Roman"/>
          <w:sz w:val="18"/>
          <w:szCs w:val="18"/>
          <w:color w:val="auto"/>
        </w:rPr>
        <w:t>As the Trial Measures are newly issued, there remains uncertainty as to how it will be interpreted or implemented. If it is determined that any other approval, filing or other administrative procedures from the CSRC or other PRC governmental authorities is required for this offering, or any future offering, listing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43" w:lineRule="auto"/>
        <w:rPr>
          <w:sz w:val="20"/>
          <w:szCs w:val="20"/>
          <w:color w:val="auto"/>
        </w:rPr>
      </w:pPr>
      <w:r>
        <w:rPr>
          <w:rFonts w:ascii="Times New Roman" w:cs="Times New Roman" w:eastAsia="Times New Roman" w:hAnsi="Times New Roman"/>
          <w:sz w:val="18"/>
          <w:szCs w:val="18"/>
          <w:color w:val="auto"/>
        </w:rPr>
        <w:t>or any other capital raising activities, which are subject to the filings under the New Regulations on Filing, we cannot assure you that we can obtain the required approval or accomplish the required filings or other regulatory procedures in a timely manner, or at all. If we fail to timely complete the relevant filing procedures, we may face sanctions by the CSRC or other PRC regulatory agencies, which may include fines and penalties on our operations in China, limitations on our operating privileges in China, restrictions on or prohibition of the payments or remittance of dividends by our PRC subsidiary in China, delay of or restriction on the repatriation of the proceeds from this offering into China, or other actions that could have a material and adverse effect on our business, financial condition, results of operations, reputation and prospects, as well as the trading price of our ADSs. The CSRC or other PRC regulatory authorities also may take actions requiring us, or circumstances may become advisable for us, to halt our offerings</w:t>
      </w:r>
    </w:p>
    <w:p>
      <w:pPr>
        <w:spacing w:after="0" w:line="2" w:lineRule="exact"/>
        <w:rPr>
          <w:sz w:val="20"/>
          <w:szCs w:val="20"/>
          <w:color w:val="auto"/>
        </w:rPr>
      </w:pPr>
    </w:p>
    <w:p>
      <w:pPr>
        <w:ind w:left="1280" w:right="519"/>
        <w:spacing w:after="0"/>
        <w:rPr>
          <w:sz w:val="20"/>
          <w:szCs w:val="20"/>
          <w:color w:val="auto"/>
        </w:rPr>
      </w:pPr>
      <w:r>
        <w:rPr>
          <w:rFonts w:ascii="Times New Roman" w:cs="Times New Roman" w:eastAsia="Times New Roman" w:hAnsi="Times New Roman"/>
          <w:sz w:val="18"/>
          <w:szCs w:val="18"/>
          <w:color w:val="auto"/>
        </w:rPr>
        <w:t>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other than the filing to CSRC, we need to complete other regulatory procedures for this offering,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ADSs.</w:t>
      </w:r>
    </w:p>
    <w:p>
      <w:pPr>
        <w:spacing w:after="0" w:line="121"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For detailed information, see “Risk Factors — Risks Related to Our Business and Industry — Our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 “Risk Factors — Risks Related to Our Business and Industry — If we fail to obtain and maintain the requisite licenses, permits and approvals applicable to our business, or fail to obtain additional licenses that become necessary due to new enactment or promulgation of laws and regulations or our expansion, our business, results of operations and growth prospects may be materially and adversely affected.” and “Risk Factors — Risks Related to Doing Business in China — The approval of PRC government authorities may be required in connection with this offering under PRC law, and if required, we cannot predict whether or for how long we will be able to obtain such approval.” As of the date of this prospectus, as advised by our PRC counsel, CM Law Firm, our PRC subsidiaries have obtained all requisite governmental permissions and approvals to conduct our offering and list overseas, and they have not been denied any such permissions or approvals.</w:t>
      </w:r>
    </w:p>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48"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NIP Group Inc. is not an operating company but a Cayman Islands holding company with operations primarily conducted through its wholly-owned subsidiaries in Sweden and China. As a result, although other means are available for us to obtain financing at the holding company level, NIP Group Inc.’s ability to pay dividends to the shareholders and to service any debt it may incur depends upon dividends paid by our Sweden and PRC subsidiaries. If any of our subsidiaries incurs debt on its own behalf in the future, the instruments governing such debt may restrict its ability to pay dividends to NIP Group Inc.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our holding company, our WFOE, or the WFOE’s subsidiaries by the PRC government to transfer cash or assets. Cash may be transferred within our organization in the following manners:</w:t>
      </w:r>
    </w:p>
    <w:p>
      <w:pPr>
        <w:spacing w:after="0" w:line="124" w:lineRule="exact"/>
        <w:rPr>
          <w:sz w:val="20"/>
          <w:szCs w:val="20"/>
          <w:color w:val="auto"/>
        </w:rPr>
      </w:pPr>
    </w:p>
    <w:p>
      <w:pPr>
        <w:ind w:left="1280" w:right="699" w:firstLine="360"/>
        <w:spacing w:after="0" w:line="261" w:lineRule="auto"/>
        <w:rPr>
          <w:sz w:val="20"/>
          <w:szCs w:val="20"/>
          <w:color w:val="auto"/>
        </w:rPr>
      </w:pPr>
      <w:r>
        <w:rPr>
          <w:rFonts w:ascii="Times New Roman" w:cs="Times New Roman" w:eastAsia="Times New Roman" w:hAnsi="Times New Roman"/>
          <w:sz w:val="18"/>
          <w:szCs w:val="18"/>
          <w:color w:val="auto"/>
        </w:rPr>
        <w:t>Under PRC laws, NIP Group Inc. may, via its intermediary Hong Kong holding company, provide funding to our WFOE only through capital contributions or loans. Similarly, our WFOE, may provide funding to Wuhan ESVF only through capital contributions or loans, subject to satisfaction of applicable government registration and approval requirements.</w:t>
      </w:r>
    </w:p>
    <w:p>
      <w:pPr>
        <w:spacing w:after="0" w:line="112"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Our WFOE and the WFOE’s subsidiaries are required to make appropriations to certain statutory reserve funds or may make appropriations to certain discretionary funds, which are not distributable as cash dividends except in the event of a solvent liquidation of the companies. The PRC government imposes controls on the convertibility of the Renminbi into foreign currencies and, in certain cases, the remittance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spacing w:after="0" w:line="258" w:lineRule="auto"/>
        <w:rPr>
          <w:sz w:val="20"/>
          <w:szCs w:val="20"/>
          <w:color w:val="auto"/>
        </w:rPr>
      </w:pPr>
      <w:r>
        <w:rPr>
          <w:rFonts w:ascii="Times New Roman" w:cs="Times New Roman" w:eastAsia="Times New Roman" w:hAnsi="Times New Roman"/>
          <w:sz w:val="18"/>
          <w:szCs w:val="18"/>
          <w:color w:val="auto"/>
        </w:rPr>
        <w:t>currency out of China. If the foreign exchange control system prevents us from obtaining sufficient foreign currencies to satisfy our foreign currency demands, we may not be able to pay dividends in foreign currencies to our shareholders.</w:t>
      </w:r>
    </w:p>
    <w:p>
      <w:pPr>
        <w:spacing w:after="0" w:line="102" w:lineRule="exact"/>
        <w:rPr>
          <w:sz w:val="20"/>
          <w:szCs w:val="20"/>
          <w:color w:val="auto"/>
        </w:rPr>
      </w:pPr>
    </w:p>
    <w:p>
      <w:pPr>
        <w:ind w:left="1280" w:right="61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our WFOE has not made any dividends or other distributions to our intermediary Hong Kong holding company or NIP Group Inc., and we have not declared or paid any dividends on our shares.</w:t>
      </w:r>
    </w:p>
    <w:p>
      <w:pPr>
        <w:spacing w:after="0" w:line="1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For 2021, there was a capital investment of US$1.24 million from NIP Group Inc. to our WFOE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through the intermediary Hong Kong holding company. In January 2022, there was an entrusted loan of</w:t>
      </w:r>
    </w:p>
    <w:p>
      <w:pPr>
        <w:ind w:left="1280"/>
        <w:spacing w:after="0"/>
        <w:rPr>
          <w:sz w:val="20"/>
          <w:szCs w:val="20"/>
          <w:color w:val="auto"/>
        </w:rPr>
      </w:pPr>
      <w:r>
        <w:rPr>
          <w:rFonts w:ascii="Times New Roman" w:cs="Times New Roman" w:eastAsia="Times New Roman" w:hAnsi="Times New Roman"/>
          <w:sz w:val="18"/>
          <w:szCs w:val="18"/>
          <w:color w:val="auto"/>
        </w:rPr>
        <w:t>US$0.86 million from our WFOE to Wuhan ESVF. In September 2022, there was a loan of US$5.0 million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provided by NIP Group Inc. to Wuhan ESVF. In January 2023, there was a loan of US$4.5 million provided</w:t>
      </w:r>
    </w:p>
    <w:p>
      <w:pPr>
        <w:ind w:left="1280"/>
        <w:spacing w:after="0" w:line="234" w:lineRule="auto"/>
        <w:rPr>
          <w:sz w:val="20"/>
          <w:szCs w:val="20"/>
          <w:color w:val="auto"/>
        </w:rPr>
      </w:pPr>
      <w:r>
        <w:rPr>
          <w:rFonts w:ascii="Times New Roman" w:cs="Times New Roman" w:eastAsia="Times New Roman" w:hAnsi="Times New Roman"/>
          <w:sz w:val="18"/>
          <w:szCs w:val="18"/>
          <w:color w:val="auto"/>
        </w:rPr>
        <w:t>by NIP Group Inc. to Wuhan ESVF. In February 2023, there was a loan of US$1.75 million provided by NIP</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Group Inc. to Wuhan ESVF. In July 2023, there was a capital investment of US$2.85 million from NIP</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Group Inc. to our WFOE through the intermediary Hong Kong holding company. In July 2023, there was a</w:t>
      </w:r>
    </w:p>
    <w:p>
      <w:pPr>
        <w:ind w:left="1280"/>
        <w:spacing w:after="0" w:line="234" w:lineRule="auto"/>
        <w:rPr>
          <w:sz w:val="20"/>
          <w:szCs w:val="20"/>
          <w:color w:val="auto"/>
        </w:rPr>
      </w:pPr>
      <w:r>
        <w:rPr>
          <w:rFonts w:ascii="Times New Roman" w:cs="Times New Roman" w:eastAsia="Times New Roman" w:hAnsi="Times New Roman"/>
          <w:sz w:val="18"/>
          <w:szCs w:val="18"/>
          <w:color w:val="auto"/>
        </w:rPr>
        <w:t>capital investment of US$3.05 million from our WFOE to Wuhan ESVF. In August 2023, there was a capital</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investment of US$5.01 million from NIP Group Inc. to our WOFE through the intermediary Hong Kong</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holding company. In September 2023, there was a capital investment of US$5.00 million from NIP Group</w:t>
      </w:r>
    </w:p>
    <w:p>
      <w:pPr>
        <w:ind w:left="1280"/>
        <w:spacing w:after="0" w:line="234" w:lineRule="auto"/>
        <w:rPr>
          <w:sz w:val="20"/>
          <w:szCs w:val="20"/>
          <w:color w:val="auto"/>
        </w:rPr>
      </w:pPr>
      <w:r>
        <w:rPr>
          <w:rFonts w:ascii="Times New Roman" w:cs="Times New Roman" w:eastAsia="Times New Roman" w:hAnsi="Times New Roman"/>
          <w:sz w:val="18"/>
          <w:szCs w:val="18"/>
          <w:color w:val="auto"/>
        </w:rPr>
        <w:t>Inc. to our WOFE through the intermediary Hong Kong holding company. In September 2023, there was a</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capital investment of US$10.07 million from our WFOE to Wuhan ESVF. In November and December 2023</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February 2024, there was a capital investment of US$1.50 million, US$3.00 million and US$1.00</w:t>
      </w:r>
    </w:p>
    <w:p>
      <w:pPr>
        <w:ind w:left="1280"/>
        <w:spacing w:after="0" w:line="234" w:lineRule="auto"/>
        <w:rPr>
          <w:sz w:val="20"/>
          <w:szCs w:val="20"/>
          <w:color w:val="auto"/>
        </w:rPr>
      </w:pPr>
      <w:r>
        <w:rPr>
          <w:rFonts w:ascii="Times New Roman" w:cs="Times New Roman" w:eastAsia="Times New Roman" w:hAnsi="Times New Roman"/>
          <w:sz w:val="18"/>
          <w:szCs w:val="18"/>
          <w:color w:val="auto"/>
        </w:rPr>
        <w:t>million, respectively, from NIP Group Inc. to our WOFE through the intermediary Hong Kong holding</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In November and December 2023 and February 2024, there was a capital investment of</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US$1.50 million, US$2.94 million and US$1.05 million, respectively, from our WFOE to Wuhan ESVF. As</w:t>
      </w:r>
    </w:p>
    <w:p>
      <w:pPr>
        <w:ind w:left="1280"/>
        <w:spacing w:after="0" w:line="234" w:lineRule="auto"/>
        <w:rPr>
          <w:sz w:val="20"/>
          <w:szCs w:val="20"/>
          <w:color w:val="auto"/>
        </w:rPr>
      </w:pPr>
      <w:r>
        <w:rPr>
          <w:rFonts w:ascii="Times New Roman" w:cs="Times New Roman" w:eastAsia="Times New Roman" w:hAnsi="Times New Roman"/>
          <w:sz w:val="18"/>
          <w:szCs w:val="18"/>
          <w:color w:val="auto"/>
        </w:rPr>
        <w:t>of the date of this prospectus, no subsidiaries paid any dividends or made any distributions to their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respective shareholders.</w:t>
      </w:r>
    </w:p>
    <w:p>
      <w:pPr>
        <w:spacing w:after="0" w:line="124" w:lineRule="exact"/>
        <w:rPr>
          <w:sz w:val="20"/>
          <w:szCs w:val="20"/>
          <w:color w:val="auto"/>
        </w:rPr>
      </w:pPr>
    </w:p>
    <w:p>
      <w:pPr>
        <w:ind w:left="1280" w:right="439" w:firstLine="360"/>
        <w:spacing w:after="0" w:line="251" w:lineRule="auto"/>
        <w:rPr>
          <w:sz w:val="20"/>
          <w:szCs w:val="20"/>
          <w:color w:val="auto"/>
        </w:rPr>
      </w:pPr>
      <w:r>
        <w:rPr>
          <w:rFonts w:ascii="Times New Roman" w:cs="Times New Roman" w:eastAsia="Times New Roman" w:hAnsi="Times New Roman"/>
          <w:sz w:val="18"/>
          <w:szCs w:val="18"/>
          <w:color w:val="auto"/>
        </w:rPr>
        <w:t>We currently do not have cash management policies in place that dictate how funds are transferred between NIP Group Inc., our subsidiaries and the investors, including potential U.S. investors. Rather, the funds can be transferred in accordance with the applicable PRC laws and regulations. Under PRC laws and regulations, we are subject to restrictions on foreign exchange and cross-border cash transfers, including to NIP Group Inc. and U.S. investors. Our ability to distribute earnings to NIP Group Inc., our Cayman holding company, and U.S. investors is also limited. We are a Cayman Islands holding company and rely on dividends and other distributions on equity from our PRC subsidiary for our cash requirements, including the funds necessary to pay dividends and other cash distributions to our shareholders and service any debt we may incur outside of PRC. Current PRC regulations permit our PRC subsidiary to pay dividends to us only out of their accumulated after-tax profits upon satisfaction of relevant statutory conditions and procedures, if any, determined in accordance with Chinese accounting standards and regulations. In addition, our PRC subsidiary is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PRC subsidiary incurs debt on its own behalf in the future, the instruments governing their debt may restrict their ability to pay dividends or make other distributions to us. In addition, the revenue and assets of our PRC subsidiary is denominated in Renminbi, which is not freely convertible into other currencies. As a result, any restriction on currency exchange may limit the ability of our PRC subsidiary to pay dividends to us. For more details, see “Risk Factors — Risks Related to Doing Business in China — 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200" w:lineRule="exact"/>
        <w:rPr>
          <w:sz w:val="20"/>
          <w:szCs w:val="20"/>
          <w:color w:val="auto"/>
        </w:rPr>
      </w:pP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62"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Historically, we conducted our operation in mainland China through our WFOE in mainland China as well as through Wuhan ESVF, the former VIE based in mainland China. We have completed the Restructuring in June 2023, and in connection therewith, our WFOE, Wuhan ESVF and shareholders of Wuhan ESVF entered into a VIE Termination Agreement, pursuant to which, the VIE Agreements were terminated with immediate effect.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firstLine="360"/>
        <w:spacing w:after="0" w:line="268" w:lineRule="auto"/>
        <w:rPr>
          <w:sz w:val="20"/>
          <w:szCs w:val="20"/>
          <w:color w:val="auto"/>
        </w:rPr>
      </w:pPr>
      <w:r>
        <w:rPr>
          <w:rFonts w:ascii="Times New Roman" w:cs="Times New Roman" w:eastAsia="Times New Roman" w:hAnsi="Times New Roman"/>
          <w:sz w:val="18"/>
          <w:szCs w:val="18"/>
          <w:color w:val="auto"/>
        </w:rPr>
        <w:t>The following tables set forth the summary consolidation schedule depicting the consolidated balance sheets as of December 31, 2022 and 2023 of (i) NIP Group Inc., our Cayman parent holding company,</w:t>
      </w:r>
    </w:p>
    <w:p>
      <w:pPr>
        <w:spacing w:after="0" w:line="2" w:lineRule="exact"/>
        <w:rPr>
          <w:sz w:val="20"/>
          <w:szCs w:val="20"/>
          <w:color w:val="auto"/>
        </w:rPr>
      </w:pPr>
    </w:p>
    <w:p>
      <w:pPr>
        <w:ind w:left="1280" w:right="539" w:hanging="2"/>
        <w:spacing w:after="0" w:line="265" w:lineRule="auto"/>
        <w:tabs>
          <w:tab w:leader="none" w:pos="15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Wuhan Muyecun Network Technology Co., Ltd., the WFOE, (iii) ESVF (Hong Kong) Esports Limited, the Hong Kong holding company, (iv) Wuhan Xingjingweiwu Culture &amp; Sports Development Co., Ltd., or the former VIE, and its subsidiaries and (v) the corresponding eliminating adjustments. As a result of the Restructuring, the former VIE and its subsidiaries became subsidiaries of the WFOE as of December 31, 2023. You should read the following tables together with our consolidated financial statements and the related notes and “Management’s Discussion and Analysis of Financial Condition and Results of Operations” included elsewhere in this prospectus.</w:t>
      </w:r>
    </w:p>
    <w:p>
      <w:pPr>
        <w:spacing w:after="0" w:line="130"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5"/>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w w:val="98"/>
              </w:rPr>
              <w:t>WFOE and</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Hong Kong</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Former</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85"/>
              </w:rPr>
              <w:t>its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4"/>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holding</w:t>
            </w:r>
          </w:p>
        </w:tc>
        <w:tc>
          <w:tcPr>
            <w:tcW w:w="160" w:type="dxa"/>
            <w:vAlign w:val="bottom"/>
          </w:tcPr>
          <w:p>
            <w:pPr>
              <w:spacing w:after="0"/>
              <w:rPr>
                <w:sz w:val="14"/>
                <w:szCs w:val="14"/>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Ninjas in</w:t>
            </w:r>
          </w:p>
        </w:tc>
        <w:tc>
          <w:tcPr>
            <w:tcW w:w="100" w:type="dxa"/>
            <w:vAlign w:val="bottom"/>
          </w:tcPr>
          <w:p>
            <w:pPr>
              <w:spacing w:after="0"/>
              <w:rPr>
                <w:sz w:val="14"/>
                <w:szCs w:val="14"/>
                <w:color w:val="auto"/>
              </w:rPr>
            </w:pPr>
          </w:p>
        </w:tc>
        <w:tc>
          <w:tcPr>
            <w:tcW w:w="940" w:type="dxa"/>
            <w:vAlign w:val="bottom"/>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VIE and its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Parent  ​ ​ subsidiaries ​ ​</w:t>
            </w:r>
          </w:p>
        </w:tc>
        <w:tc>
          <w:tcPr>
            <w:tcW w:w="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7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 Pyjamas</w:t>
            </w:r>
          </w:p>
        </w:tc>
        <w:tc>
          <w:tcPr>
            <w:tcW w:w="1980" w:type="dxa"/>
            <w:vAlign w:val="bottom"/>
            <w:gridSpan w:val="9"/>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​subsidiaries ​ ​Eliminations ​ ​</w:t>
            </w:r>
          </w:p>
        </w:tc>
        <w:tc>
          <w:tcPr>
            <w:tcW w:w="6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1,383​​​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1,978​​​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Inter-Group balances due</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former VIE and its</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subsidiaries/Non-VIE</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60" w:type="dxa"/>
            <w:vAlign w:val="bottom"/>
            <w:tcBorders>
              <w:left w:val="single" w:sz="8" w:color="CCEEFF"/>
              <w:right w:val="single" w:sz="8" w:color="CCEEFF"/>
            </w:tcBorders>
            <w:gridSpan w:val="5"/>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(12,336)​​​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2,989​​​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17,939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21,760</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234,839​​​</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17,703</w:t>
            </w: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18,600</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740" w:type="dxa"/>
            <w:vAlign w:val="bottom"/>
            <w:tcBorders>
              <w:right w:val="single" w:sz="8" w:color="CCEEFF"/>
            </w:tcBorders>
            <w:gridSpan w:val="6"/>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(271,142)​​​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Investment equity in the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VIE and its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and Non-VIE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​​​​185,865​​​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96,457</w:t>
            </w:r>
          </w:p>
        </w:tc>
        <w:tc>
          <w:tcPr>
            <w:tcW w:w="4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​284,485</w:t>
            </w: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​​​249,429​​​</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​18,600</w:t>
            </w:r>
          </w:p>
        </w:tc>
        <w:tc>
          <w:tcPr>
            <w:tcW w:w="10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96"/>
              </w:rPr>
              <w:t>​18,690</w:t>
            </w:r>
          </w:p>
        </w:tc>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​​​​190,832​​​ ​119,767</w:t>
            </w:r>
          </w:p>
        </w:tc>
        <w:tc>
          <w:tcPr>
            <w:tcW w:w="126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 ​(283,478)​​​</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​313,840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34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Inter-Group balances due to</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former VIE and its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subsidiaries/Non-VIE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26"/>
              <w:spacing w:after="0"/>
              <w:rPr>
                <w:sz w:val="20"/>
                <w:szCs w:val="20"/>
                <w:color w:val="auto"/>
              </w:rPr>
            </w:pPr>
            <w:r>
              <w:rPr>
                <w:rFonts w:ascii="Times New Roman" w:cs="Times New Roman" w:eastAsia="Times New Roman" w:hAnsi="Times New Roman"/>
                <w:sz w:val="18"/>
                <w:szCs w:val="18"/>
                <w:color w:val="auto"/>
              </w:rPr>
              <w:t>(622)​​​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2,435​​​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24,640</w:t>
            </w:r>
          </w:p>
        </w:tc>
        <w:tc>
          <w:tcPr>
            <w:tcW w:w="4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28,778</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 15,078​​​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28,826</w:t>
            </w:r>
          </w:p>
        </w:tc>
        <w:tc>
          <w:tcPr>
            <w:tcW w:w="1260" w:type="dxa"/>
            <w:vAlign w:val="bottom"/>
            <w:gridSpan w:val="5"/>
          </w:tcPr>
          <w:p>
            <w:pPr>
              <w:jc w:val="right"/>
              <w:ind w:right="26"/>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(11,713)​​​</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32,322</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right w:val="single" w:sz="8" w:color="CCEEFF"/>
            </w:tcBorders>
            <w:gridSpan w:val="3"/>
            <w:shd w:val="clear" w:color="auto" w:fill="CCEEFF"/>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1,689</w:t>
            </w:r>
            <w:r>
              <w:rPr>
                <w:rFonts w:ascii="Times New Roman" w:cs="Times New Roman" w:eastAsia="Times New Roman" w:hAnsi="Times New Roman"/>
                <w:sz w:val="25"/>
                <w:szCs w:val="25"/>
                <w:b w:val="1"/>
                <w:bCs w:val="1"/>
                <w:color w:val="auto"/>
                <w:vertAlign w:val="subscript"/>
              </w:rPr>
              <w:t>​​​</w:t>
            </w:r>
          </w:p>
        </w:tc>
        <w:tc>
          <w:tcPr>
            <w:tcW w:w="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shd w:val="clear" w:color="auto" w:fill="CCEEFF"/>
          </w:tcPr>
          <w:p>
            <w:pPr>
              <w:spacing w:after="0"/>
              <w:rPr>
                <w:sz w:val="22"/>
                <w:szCs w:val="22"/>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w:t>
            </w:r>
          </w:p>
        </w:tc>
        <w:tc>
          <w:tcPr>
            <w:tcW w:w="5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525</w:t>
            </w:r>
          </w:p>
        </w:tc>
        <w:tc>
          <w:tcPr>
            <w:tcW w:w="1480" w:type="dxa"/>
            <w:vAlign w:val="bottom"/>
            <w:gridSpan w:val="9"/>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17,513</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 53,563</w:t>
            </w:r>
          </w:p>
        </w:tc>
        <w:tc>
          <w:tcPr>
            <w:tcW w:w="1260" w:type="dxa"/>
            <w:vAlign w:val="bottom"/>
            <w:tcBorders>
              <w:left w:val="single" w:sz="8" w:color="CCEEFF"/>
              <w:right w:val="single" w:sz="8" w:color="CCEEFF"/>
            </w:tcBorders>
            <w:gridSpan w:val="5"/>
            <w:shd w:val="clear" w:color="auto" w:fill="CCEEFF"/>
          </w:tcPr>
          <w:p>
            <w:pPr>
              <w:jc w:val="right"/>
              <w:ind w:right="26"/>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 (12,335)</w:t>
            </w:r>
            <w:r>
              <w:rPr>
                <w:rFonts w:ascii="Times New Roman" w:cs="Times New Roman" w:eastAsia="Times New Roman" w:hAnsi="Times New Roman"/>
                <w:sz w:val="25"/>
                <w:szCs w:val="25"/>
                <w:b w:val="1"/>
                <w:bCs w:val="1"/>
                <w:color w:val="auto"/>
                <w:vertAlign w:val="subscript"/>
              </w:rPr>
              <w:t>​​​</w:t>
            </w:r>
          </w:p>
        </w:tc>
        <w:tc>
          <w:tcPr>
            <w:tcW w:w="600" w:type="dxa"/>
            <w:vAlign w:val="bottom"/>
            <w:tcBorders>
              <w:right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61,100</w:t>
            </w:r>
          </w:p>
        </w:tc>
        <w:tc>
          <w:tcPr>
            <w:tcW w:w="10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Mezzanine equity</w:t>
            </w:r>
          </w:p>
        </w:tc>
        <w:tc>
          <w:tcPr>
            <w:tcW w:w="2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18"/>
                <w:szCs w:val="18"/>
                <w:color w:val="auto"/>
                <w:w w:val="85"/>
              </w:rPr>
              <w:t>322,543​​​</w:t>
            </w:r>
          </w:p>
        </w:tc>
        <w:tc>
          <w:tcPr>
            <w:tcW w:w="24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5"/>
                <w:szCs w:val="15"/>
                <w:color w:val="auto"/>
              </w:rPr>
            </w:pPr>
          </w:p>
        </w:tc>
        <w:tc>
          <w:tcPr>
            <w:tcW w:w="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4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ind w:right="26"/>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322,543</w:t>
            </w:r>
          </w:p>
        </w:tc>
        <w:tc>
          <w:tcPr>
            <w:tcW w:w="10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(deficit) equity</w:t>
            </w:r>
          </w:p>
        </w:tc>
        <w:tc>
          <w:tcPr>
            <w:tcW w:w="960" w:type="dxa"/>
            <w:vAlign w:val="bottom"/>
            <w:tcBorders>
              <w:right w:val="single" w:sz="8" w:color="CCEEFF"/>
            </w:tcBorders>
            <w:gridSpan w:val="3"/>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(74,803)</w:t>
            </w:r>
          </w:p>
        </w:tc>
        <w:tc>
          <w:tcPr>
            <w:tcW w:w="5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18,455</w:t>
            </w: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96"/>
              </w:rPr>
              <w:t>18,165</w:t>
            </w:r>
          </w:p>
        </w:tc>
        <w:tc>
          <w:tcPr>
            <w:tcW w:w="860" w:type="dxa"/>
            <w:vAlign w:val="bottom"/>
            <w:gridSpan w:val="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173,319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66,204</w:t>
            </w:r>
          </w:p>
        </w:tc>
        <w:tc>
          <w:tcPr>
            <w:tcW w:w="32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tcBorders>
              <w:right w:val="single" w:sz="8" w:color="CCEEFF"/>
            </w:tcBorders>
            <w:gridSpan w:val="4"/>
            <w:shd w:val="clear" w:color="auto" w:fill="CCEEFF"/>
          </w:tcPr>
          <w:p>
            <w:pPr>
              <w:jc w:val="right"/>
              <w:ind w:right="166"/>
              <w:spacing w:after="0" w:line="189" w:lineRule="exact"/>
              <w:rPr>
                <w:sz w:val="20"/>
                <w:szCs w:val="20"/>
                <w:color w:val="auto"/>
              </w:rPr>
            </w:pPr>
            <w:r>
              <w:rPr>
                <w:rFonts w:ascii="Times New Roman" w:cs="Times New Roman" w:eastAsia="Times New Roman" w:hAnsi="Times New Roman"/>
                <w:sz w:val="18"/>
                <w:szCs w:val="18"/>
                <w:color w:val="auto"/>
                <w:w w:val="96"/>
              </w:rPr>
              <w:t>(271,143)</w:t>
            </w:r>
          </w:p>
        </w:tc>
        <w:tc>
          <w:tcPr>
            <w:tcW w:w="70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(69,803)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3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jc w:val="right"/>
              <w:ind w:right="3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2"/>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400" w:type="dxa"/>
            <w:vAlign w:val="bottom"/>
            <w:tcBorders>
              <w:left w:val="single" w:sz="8" w:color="CCEEFF"/>
            </w:tcBorders>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jc w:val="right"/>
              <w:ind w:right="26"/>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Hong Kong</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0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0"/>
              </w:rPr>
              <w:t>VIE and its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9"/>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Parent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WFOE </w:t>
            </w:r>
            <w:r>
              <w:rPr>
                <w:rFonts w:ascii="Times New Roman" w:cs="Times New Roman" w:eastAsia="Times New Roman" w:hAnsi="Times New Roman"/>
                <w:sz w:val="24"/>
                <w:szCs w:val="24"/>
                <w:b w:val="1"/>
                <w:bCs w:val="1"/>
                <w:color w:val="auto"/>
                <w:vertAlign w:val="subscript"/>
              </w:rPr>
              <w:t>​ ​</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8"/>
                <w:szCs w:val="18"/>
                <w:color w:val="auto"/>
              </w:rPr>
            </w:pPr>
          </w:p>
        </w:tc>
        <w:tc>
          <w:tcPr>
            <w:tcW w:w="1980" w:type="dxa"/>
            <w:vAlign w:val="bottom"/>
            <w:gridSpan w:val="9"/>
          </w:tcPr>
          <w:p>
            <w:pPr>
              <w:jc w:val="right"/>
              <w:ind w:right="46"/>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Eliminations </w:t>
            </w:r>
            <w:r>
              <w:rPr>
                <w:rFonts w:ascii="Times New Roman" w:cs="Times New Roman" w:eastAsia="Times New Roman" w:hAnsi="Times New Roman"/>
                <w:sz w:val="24"/>
                <w:szCs w:val="24"/>
                <w:b w:val="1"/>
                <w:bCs w:val="1"/>
                <w:color w:val="auto"/>
                <w:vertAlign w:val="subscript"/>
              </w:rPr>
              <w:t>​ ​</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1"/>
                <w:szCs w:val="21"/>
                <w:color w:val="auto"/>
              </w:rPr>
            </w:pPr>
          </w:p>
        </w:tc>
        <w:tc>
          <w:tcPr>
            <w:tcW w:w="320" w:type="dxa"/>
            <w:vAlign w:val="bottom"/>
            <w:tcBorders>
              <w:left w:val="single" w:sz="8" w:color="CCEEFF"/>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7,059​​​</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2,233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6"/>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Inter-Group balances due from the VIE and</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its subsidiaries/non-VIE</w:t>
            </w:r>
          </w:p>
        </w:tc>
        <w:tc>
          <w:tcPr>
            <w:tcW w:w="20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5,322​​​</w:t>
            </w: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(6,652)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3,273​​​</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20,236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6"/>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1,240​​​</w:t>
            </w: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1,240</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(2,480)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 equity in the VIE and its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and non-VIE</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68,427​​​</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(68,427)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right w:val="single" w:sz="8" w:color="CCEEFF"/>
            </w:tcBorders>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44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520" w:type="dxa"/>
            <w:vAlign w:val="bottom"/>
            <w:gridSpan w:val="3"/>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280" w:type="dxa"/>
            <w:vAlign w:val="bottom"/>
            <w:gridSpan w:val="2"/>
            <w:shd w:val="clear" w:color="auto" w:fill="CCEEFF"/>
          </w:tcPr>
          <w:p>
            <w:pPr>
              <w:ind w:left="10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3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Borders>
              <w:right w:val="single" w:sz="8" w:color="CCEEFF"/>
            </w:tcBorders>
            <w:gridSpan w:val="6"/>
            <w:shd w:val="clear" w:color="auto" w:fill="CCEEFF"/>
          </w:tcPr>
          <w:p>
            <w:pPr>
              <w:jc w:val="right"/>
              <w:ind w:right="36"/>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100,744</w:t>
            </w: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860" w:type="dxa"/>
            <w:vAlign w:val="bottom"/>
            <w:tcBorders>
              <w:right w:val="single" w:sz="8" w:color="CCEEFF"/>
            </w:tcBorders>
            <w:gridSpan w:val="3"/>
            <w:shd w:val="clear" w:color="auto" w:fill="CCEEFF"/>
          </w:tcPr>
          <w:p>
            <w:pPr>
              <w:jc w:val="right"/>
              <w:ind w:right="46"/>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600" w:type="dxa"/>
            <w:vAlign w:val="bottom"/>
            <w:tcBorders>
              <w:right w:val="single" w:sz="8" w:color="CCEEFF"/>
            </w:tcBorders>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​100,753</w:t>
            </w:r>
          </w:p>
        </w:tc>
        <w:tc>
          <w:tcPr>
            <w:tcW w:w="10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9"/>
          </w:tcPr>
          <w:p>
            <w:pPr>
              <w:jc w:val="right"/>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​85,321</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1,139 </w:t>
            </w:r>
            <w:r>
              <w:rPr>
                <w:rFonts w:ascii="Times New Roman" w:cs="Times New Roman" w:eastAsia="Times New Roman" w:hAnsi="Times New Roman"/>
                <w:sz w:val="32"/>
                <w:szCs w:val="32"/>
                <w:b w:val="1"/>
                <w:bCs w:val="1"/>
                <w:color w:val="auto"/>
                <w:vertAlign w:val="subscript"/>
              </w:rPr>
              <w:t>​​​</w:t>
            </w:r>
          </w:p>
        </w:tc>
        <w:tc>
          <w:tcPr>
            <w:tcW w:w="660" w:type="dxa"/>
            <w:vAlign w:val="bottom"/>
            <w:gridSpan w:val="4"/>
          </w:tcPr>
          <w:p>
            <w:pPr>
              <w:ind w:left="10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​1,347</w:t>
            </w:r>
          </w:p>
        </w:tc>
        <w:tc>
          <w:tcPr>
            <w:tcW w:w="1140" w:type="dxa"/>
            <w:vAlign w:val="bottom"/>
            <w:gridSpan w:val="6"/>
          </w:tcPr>
          <w:p>
            <w:pPr>
              <w:jc w:val="right"/>
              <w:ind w:right="36"/>
              <w:spacing w:after="0" w:line="276"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2"/>
                <w:szCs w:val="32"/>
                <w:b w:val="1"/>
                <w:bCs w:val="1"/>
                <w:color w:val="auto"/>
                <w:vertAlign w:val="superscript"/>
              </w:rPr>
              <w:t>123,688</w:t>
            </w:r>
            <w:r>
              <w:rPr>
                <w:rFonts w:ascii="Times New Roman" w:cs="Times New Roman" w:eastAsia="Times New Roman" w:hAnsi="Times New Roman"/>
                <w:sz w:val="17"/>
                <w:szCs w:val="17"/>
                <w:b w:val="1"/>
                <w:bCs w:val="1"/>
                <w:color w:val="auto"/>
              </w:rPr>
              <w:t xml:space="preserve"> ​​​</w:t>
            </w:r>
          </w:p>
        </w:tc>
        <w:tc>
          <w:tcPr>
            <w:tcW w:w="940" w:type="dxa"/>
            <w:vAlign w:val="bottom"/>
            <w:gridSpan w:val="4"/>
          </w:tcPr>
          <w:p>
            <w:pPr>
              <w:jc w:val="right"/>
              <w:ind w:right="46"/>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​(77,559) </w:t>
            </w:r>
            <w:r>
              <w:rPr>
                <w:rFonts w:ascii="Times New Roman" w:cs="Times New Roman" w:eastAsia="Times New Roman" w:hAnsi="Times New Roman"/>
                <w:sz w:val="32"/>
                <w:szCs w:val="32"/>
                <w:b w:val="1"/>
                <w:bCs w:val="1"/>
                <w:color w:val="auto"/>
                <w:vertAlign w:val="subscript"/>
              </w:rPr>
              <w:t>​​​</w:t>
            </w:r>
          </w:p>
        </w:tc>
        <w:tc>
          <w:tcPr>
            <w:tcW w:w="60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​133,936</w:t>
            </w: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Hong Kong</w:t>
            </w:r>
          </w:p>
        </w:tc>
        <w:tc>
          <w:tcPr>
            <w:tcW w:w="5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holding</w:t>
            </w:r>
          </w:p>
        </w:tc>
        <w:tc>
          <w:tcPr>
            <w:tcW w:w="114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VIE and its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Parent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WFOE </w:t>
            </w:r>
            <w:r>
              <w:rPr>
                <w:rFonts w:ascii="Times New Roman" w:cs="Times New Roman" w:eastAsia="Times New Roman" w:hAnsi="Times New Roman"/>
                <w:sz w:val="24"/>
                <w:szCs w:val="24"/>
                <w:b w:val="1"/>
                <w:bCs w:val="1"/>
                <w:color w:val="auto"/>
                <w:vertAlign w:val="subscript"/>
              </w:rPr>
              <w:t>​ ​</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060" w:type="dxa"/>
            <w:vAlign w:val="bottom"/>
            <w:gridSpan w:val="8"/>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24"/>
                <w:szCs w:val="24"/>
                <w:b w:val="1"/>
                <w:bCs w:val="1"/>
                <w:color w:val="auto"/>
                <w:vertAlign w:val="subscript"/>
              </w:rPr>
              <w:t>​ ​</w:t>
            </w:r>
          </w:p>
        </w:tc>
        <w:tc>
          <w:tcPr>
            <w:tcW w:w="100" w:type="dxa"/>
            <w:vAlign w:val="bottom"/>
          </w:tcPr>
          <w:p>
            <w:pPr>
              <w:spacing w:after="0"/>
              <w:rPr>
                <w:sz w:val="18"/>
                <w:szCs w:val="18"/>
                <w:color w:val="auto"/>
              </w:rPr>
            </w:pPr>
          </w:p>
        </w:tc>
        <w:tc>
          <w:tcPr>
            <w:tcW w:w="6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Inter-Group balances due to the VIE and its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subsidiaries/non-VIE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(6,652)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28,515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24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15,964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800" w:type="dxa"/>
            <w:vAlign w:val="bottom"/>
            <w:gridSpan w:val="3"/>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15"/>
                <w:szCs w:val="15"/>
                <w:b w:val="1"/>
                <w:bCs w:val="1"/>
                <w:color w:val="auto"/>
              </w:rPr>
              <w:t>864</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w:t>
            </w:r>
          </w:p>
        </w:tc>
        <w:tc>
          <w:tcPr>
            <w:tcW w:w="4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5"/>
                <w:szCs w:val="15"/>
                <w:b w:val="1"/>
                <w:bCs w:val="1"/>
                <w:color w:val="auto"/>
              </w:rPr>
              <w:t xml:space="preserve"> ​​​</w:t>
            </w:r>
          </w:p>
        </w:tc>
        <w:tc>
          <w:tcPr>
            <w:tcW w:w="620" w:type="dxa"/>
            <w:vAlign w:val="bottom"/>
            <w:gridSpan w:val="4"/>
            <w:shd w:val="clear" w:color="auto" w:fill="CCEEFF"/>
          </w:tcPr>
          <w:p>
            <w:pPr>
              <w:ind w:lef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​405</w:t>
            </w:r>
          </w:p>
        </w:tc>
        <w:tc>
          <w:tcPr>
            <w:tcW w:w="1140" w:type="dxa"/>
            <w:vAlign w:val="bottom"/>
            <w:tcBorders>
              <w:right w:val="single" w:sz="8" w:color="CCEEFF"/>
            </w:tcBorders>
            <w:gridSpan w:val="4"/>
            <w:shd w:val="clear" w:color="auto" w:fill="CCEEFF"/>
          </w:tcPr>
          <w:p>
            <w:pPr>
              <w:jc w:val="right"/>
              <w:ind w:right="10"/>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 49,862</w:t>
            </w:r>
            <w:r>
              <w:rPr>
                <w:rFonts w:ascii="Times New Roman" w:cs="Times New Roman" w:eastAsia="Times New Roman" w:hAnsi="Times New Roman"/>
                <w:sz w:val="15"/>
                <w:szCs w:val="15"/>
                <w:b w:val="1"/>
                <w:bCs w:val="1"/>
                <w:color w:val="auto"/>
              </w:rPr>
              <w:t xml:space="preserve"> ​​​</w:t>
            </w:r>
          </w:p>
        </w:tc>
        <w:tc>
          <w:tcPr>
            <w:tcW w:w="920" w:type="dxa"/>
            <w:vAlign w:val="bottom"/>
            <w:tcBorders>
              <w:right w:val="single" w:sz="8" w:color="CCEEFF"/>
            </w:tcBorders>
            <w:gridSpan w:val="4"/>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 (6,652) </w:t>
            </w:r>
            <w:r>
              <w:rPr>
                <w:rFonts w:ascii="Times New Roman" w:cs="Times New Roman" w:eastAsia="Times New Roman" w:hAnsi="Times New Roman"/>
                <w:sz w:val="28"/>
                <w:szCs w:val="28"/>
                <w:b w:val="1"/>
                <w:bCs w:val="1"/>
                <w:color w:val="auto"/>
                <w:vertAlign w:val="subscript"/>
              </w:rPr>
              <w:t>​​​</w:t>
            </w:r>
          </w:p>
        </w:tc>
        <w:tc>
          <w:tcPr>
            <w:tcW w:w="70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44,479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​​​113,463​​​​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​113,463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(deficit) equity</w:t>
            </w:r>
          </w:p>
        </w:tc>
        <w:tc>
          <w:tcPr>
            <w:tcW w:w="14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​(29,006) 1,139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​942</w:t>
            </w:r>
          </w:p>
        </w:tc>
        <w:tc>
          <w:tcPr>
            <w:tcW w:w="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73,826</w:t>
            </w:r>
          </w:p>
        </w:tc>
        <w:tc>
          <w:tcPr>
            <w:tcW w:w="30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​(70,907)</w:t>
            </w:r>
          </w:p>
        </w:tc>
        <w:tc>
          <w:tcPr>
            <w:tcW w:w="26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​(24,006)</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320" w:type="dxa"/>
            <w:vAlign w:val="bottom"/>
            <w:shd w:val="clear" w:color="auto" w:fill="CCEEFF"/>
          </w:tcPr>
          <w:p>
            <w:pPr>
              <w:spacing w:after="0"/>
              <w:rPr>
                <w:sz w:val="5"/>
                <w:szCs w:val="5"/>
                <w:color w:val="auto"/>
              </w:rPr>
            </w:pPr>
          </w:p>
        </w:tc>
        <w:tc>
          <w:tcPr>
            <w:tcW w:w="22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shd w:val="clear" w:color="auto" w:fill="CCEEFF"/>
          </w:tcPr>
          <w:p>
            <w:pPr>
              <w:spacing w:after="0"/>
              <w:rPr>
                <w:sz w:val="5"/>
                <w:szCs w:val="5"/>
                <w:color w:val="auto"/>
              </w:rPr>
            </w:pPr>
          </w:p>
        </w:tc>
        <w:tc>
          <w:tcPr>
            <w:tcW w:w="300" w:type="dxa"/>
            <w:vAlign w:val="bottom"/>
            <w:gridSpan w:val="2"/>
            <w:shd w:val="clear" w:color="auto" w:fill="CCEEFF"/>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240" w:type="dxa"/>
            <w:vAlign w:val="bottom"/>
            <w:gridSpan w:val="2"/>
            <w:shd w:val="clear" w:color="auto" w:fill="CCEEFF"/>
          </w:tcPr>
          <w:p>
            <w:pPr>
              <w:ind w:left="1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3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80" w:right="11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tables set forth the summary consolidation schedule depicting the consolidated statements of operations and comprehensive loss for the years ended December 31, 2022 and 2023.</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Hong Kong</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4"/>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Ninjas in</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VIE and 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WFOE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company</w:t>
            </w:r>
          </w:p>
        </w:tc>
        <w:tc>
          <w:tcPr>
            <w:tcW w:w="7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Pyjamas</w:t>
            </w:r>
          </w:p>
        </w:tc>
        <w:tc>
          <w:tcPr>
            <w:tcW w:w="2120" w:type="dxa"/>
            <w:vAlign w:val="bottom"/>
            <w:gridSpan w:val="1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Eliminations </w:t>
            </w:r>
            <w:r>
              <w:rPr>
                <w:rFonts w:ascii="Times New Roman" w:cs="Times New Roman" w:eastAsia="Times New Roman" w:hAnsi="Times New Roman"/>
                <w:sz w:val="24"/>
                <w:szCs w:val="24"/>
                <w:b w:val="1"/>
                <w:bCs w:val="1"/>
                <w:color w:val="auto"/>
                <w:vertAlign w:val="subscript"/>
              </w:rPr>
              <w:t>​ ​</w:t>
            </w:r>
          </w:p>
        </w:tc>
        <w:tc>
          <w:tcPr>
            <w:tcW w:w="12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7"/>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CCEEFF"/>
            </w:tcBorders>
            <w:shd w:val="clear" w:color="auto" w:fill="CCEEFF"/>
          </w:tcPr>
          <w:p>
            <w:pPr>
              <w:spacing w:after="0"/>
              <w:rPr>
                <w:sz w:val="19"/>
                <w:szCs w:val="19"/>
                <w:color w:val="auto"/>
              </w:rPr>
            </w:pPr>
          </w:p>
        </w:tc>
        <w:tc>
          <w:tcPr>
            <w:tcW w:w="196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8,489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75,142 ​​ ​</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83,668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5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96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4,455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72,015 ​​ ​</w:t>
            </w:r>
          </w:p>
        </w:tc>
        <w:tc>
          <w:tcPr>
            <w:tcW w:w="8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76,470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 profit</w:t>
            </w:r>
          </w:p>
        </w:tc>
        <w:tc>
          <w:tcPr>
            <w:tcW w:w="1100" w:type="dxa"/>
            <w:vAlign w:val="bottom"/>
            <w:tcBorders>
              <w:right w:val="single" w:sz="8" w:color="CCEEFF"/>
            </w:tcBorders>
            <w:gridSpan w:val="4"/>
            <w:shd w:val="clear" w:color="auto" w:fill="CCEEFF"/>
          </w:tcPr>
          <w:p>
            <w:pPr>
              <w:jc w:val="right"/>
              <w:ind w:right="204"/>
              <w:spacing w:after="0" w:line="202" w:lineRule="exact"/>
              <w:rPr>
                <w:sz w:val="20"/>
                <w:szCs w:val="20"/>
                <w:color w:val="auto"/>
              </w:rPr>
            </w:pPr>
            <w:r>
              <w:rPr>
                <w:rFonts w:ascii="Times New Roman" w:cs="Times New Roman" w:eastAsia="Times New Roman" w:hAnsi="Times New Roman"/>
                <w:sz w:val="18"/>
                <w:szCs w:val="18"/>
                <w:b w:val="1"/>
                <w:bCs w:val="1"/>
                <w:color w:val="auto"/>
              </w:rPr>
              <w:t>(13,258)</w:t>
            </w:r>
          </w:p>
        </w:tc>
        <w:tc>
          <w:tcPr>
            <w:tcW w:w="3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w:t>
            </w:r>
          </w:p>
        </w:tc>
        <w:tc>
          <w:tcPr>
            <w:tcW w:w="42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(180)</w:t>
            </w:r>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80" w:type="dxa"/>
            <w:vAlign w:val="bottom"/>
            <w:tcBorders>
              <w:right w:val="single" w:sz="8" w:color="CCEEFF"/>
            </w:tcBorders>
            <w:gridSpan w:val="2"/>
            <w:shd w:val="clear" w:color="auto" w:fill="CCEEFF"/>
          </w:tcPr>
          <w:p>
            <w:pPr>
              <w:jc w:val="right"/>
              <w:ind w:right="28"/>
              <w:spacing w:after="0" w:line="202" w:lineRule="exact"/>
              <w:rPr>
                <w:sz w:val="20"/>
                <w:szCs w:val="20"/>
                <w:color w:val="auto"/>
              </w:rPr>
            </w:pPr>
            <w:r>
              <w:rPr>
                <w:rFonts w:ascii="Times New Roman" w:cs="Times New Roman" w:eastAsia="Times New Roman" w:hAnsi="Times New Roman"/>
                <w:sz w:val="18"/>
                <w:szCs w:val="18"/>
                <w:b w:val="1"/>
                <w:bCs w:val="1"/>
                <w:color w:val="auto"/>
                <w:w w:val="96"/>
              </w:rPr>
              <w:t>153</w:t>
            </w:r>
          </w:p>
        </w:tc>
        <w:tc>
          <w:tcPr>
            <w:tcW w:w="90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(12,542)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5"/>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12,589</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Borders>
              <w:right w:val="single" w:sz="8" w:color="CCEEFF"/>
            </w:tcBorders>
            <w:gridSpan w:val="4"/>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(13,258)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30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340" w:type="dxa"/>
            <w:vAlign w:val="bottom"/>
            <w:tcBorders>
              <w:left w:val="single" w:sz="8" w:color="CCEEFF"/>
              <w:right w:val="single" w:sz="8" w:color="CCEEFF"/>
            </w:tcBorders>
            <w:shd w:val="clear" w:color="auto" w:fill="CCEEFF"/>
          </w:tcPr>
          <w:p>
            <w:pPr>
              <w:jc w:val="right"/>
              <w:ind w:right="64"/>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3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20" w:type="dxa"/>
            <w:vAlign w:val="bottom"/>
            <w:tcBorders>
              <w:right w:val="single" w:sz="8" w:color="CCEEFF"/>
            </w:tcBorders>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40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60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 ​</w:t>
            </w: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800" w:type="dxa"/>
            <w:vAlign w:val="bottom"/>
            <w:tcBorders>
              <w:right w:val="single" w:sz="8" w:color="CCEEFF"/>
            </w:tcBorders>
            <w:gridSpan w:val="4"/>
            <w:shd w:val="clear" w:color="auto" w:fill="CCEEFF"/>
          </w:tcPr>
          <w:p>
            <w:pPr>
              <w:jc w:val="right"/>
              <w:ind w:right="6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 2022</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7"/>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Hong Kong</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holding</w:t>
            </w:r>
          </w:p>
        </w:tc>
        <w:tc>
          <w:tcPr>
            <w:tcW w:w="28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VIE and its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Parent  </w:t>
            </w:r>
            <w:r>
              <w:rPr>
                <w:rFonts w:ascii="Times New Roman" w:cs="Times New Roman" w:eastAsia="Times New Roman" w:hAnsi="Times New Roman"/>
                <w:sz w:val="24"/>
                <w:szCs w:val="24"/>
                <w:b w:val="1"/>
                <w:bCs w:val="1"/>
                <w:color w:val="auto"/>
                <w:vertAlign w:val="subscript"/>
              </w:rPr>
              <w:t>​</w:t>
            </w:r>
          </w:p>
        </w:tc>
        <w:tc>
          <w:tcPr>
            <w:tcW w:w="1380" w:type="dxa"/>
            <w:vAlign w:val="bottom"/>
            <w:gridSpan w:val="8"/>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WFOE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company</w:t>
            </w:r>
          </w:p>
        </w:tc>
        <w:tc>
          <w:tcPr>
            <w:tcW w:w="3360" w:type="dxa"/>
            <w:vAlign w:val="bottom"/>
            <w:gridSpan w:val="20"/>
          </w:tcPr>
          <w:p>
            <w:pPr>
              <w:ind w:left="1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Eliminations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Consolidated 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6"/>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​65,835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​65,835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​62,093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8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w w:val="96"/>
              </w:rPr>
              <w:t>​62,093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 profit</w:t>
            </w: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left w:val="single" w:sz="8" w:color="CCEE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​(6,216)</w:t>
            </w:r>
          </w:p>
        </w:tc>
        <w:tc>
          <w:tcPr>
            <w:tcW w:w="1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7"/>
              </w:rPr>
              <w:t>​(257)</w:t>
            </w:r>
          </w:p>
        </w:tc>
        <w:tc>
          <w:tcPr>
            <w:tcW w:w="3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​(5,740)</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5"/>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5,937</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4"/>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​(6,306)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10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tcBorders>
              <w:right w:val="single" w:sz="8" w:color="CCEEFF"/>
            </w:tcBorders>
            <w:vMerge w:val="continue"/>
            <w:shd w:val="clear" w:color="auto" w:fill="CCEEFF"/>
          </w:tcPr>
          <w:p>
            <w:pPr>
              <w:spacing w:after="0"/>
              <w:rPr>
                <w:sz w:val="5"/>
                <w:szCs w:val="5"/>
                <w:color w:val="auto"/>
              </w:rPr>
            </w:pPr>
          </w:p>
        </w:tc>
        <w:tc>
          <w:tcPr>
            <w:tcW w:w="340" w:type="dxa"/>
            <w:vAlign w:val="bottom"/>
            <w:tcBorders>
              <w:left w:val="single" w:sz="8" w:color="CCEEFF"/>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shd w:val="clear" w:color="auto" w:fill="CCEEFF"/>
          </w:tcPr>
          <w:p>
            <w:pPr>
              <w:spacing w:after="0"/>
              <w:rPr>
                <w:sz w:val="5"/>
                <w:szCs w:val="5"/>
                <w:color w:val="auto"/>
              </w:rPr>
            </w:pPr>
          </w:p>
        </w:tc>
        <w:tc>
          <w:tcPr>
            <w:tcW w:w="16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800" w:type="dxa"/>
            <w:vAlign w:val="bottom"/>
            <w:tcBorders>
              <w:right w:val="single" w:sz="8" w:color="CCEEFF"/>
            </w:tcBorders>
            <w:gridSpan w:val="4"/>
            <w:shd w:val="clear" w:color="auto" w:fill="CCEEFF"/>
          </w:tcPr>
          <w:p>
            <w:pPr>
              <w:jc w:val="right"/>
              <w:ind w:right="76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80" w:right="117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tables set forth the summary consolidation schedule depicting the consolidated statements of cash flows for the years ended December 31, 2022 and 2023.</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spacing w:after="0"/>
              <w:rPr>
                <w:sz w:val="19"/>
                <w:szCs w:val="19"/>
                <w:color w:val="auto"/>
              </w:rPr>
            </w:pPr>
          </w:p>
        </w:tc>
        <w:tc>
          <w:tcPr>
            <w:tcW w:w="25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Hong Kong</w:t>
            </w:r>
          </w:p>
        </w:tc>
        <w:tc>
          <w:tcPr>
            <w:tcW w:w="5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2"/>
              </w:rPr>
              <w:t>holding</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Ninjas in</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VIE and its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0" w:type="dxa"/>
            <w:vAlign w:val="bottom"/>
          </w:tcPr>
          <w:p>
            <w:pPr>
              <w:spacing w:after="0"/>
              <w:rPr>
                <w:sz w:val="14"/>
                <w:szCs w:val="14"/>
                <w:color w:val="auto"/>
              </w:rPr>
            </w:pPr>
          </w:p>
        </w:tc>
      </w:tr>
      <w:tr>
        <w:trPr>
          <w:trHeight w:val="214"/>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Parent  </w:t>
            </w:r>
            <w:r>
              <w:rPr>
                <w:rFonts w:ascii="Times New Roman" w:cs="Times New Roman" w:eastAsia="Times New Roman" w:hAnsi="Times New Roman"/>
                <w:sz w:val="24"/>
                <w:szCs w:val="24"/>
                <w:b w:val="1"/>
                <w:bCs w:val="1"/>
                <w:color w:val="auto"/>
                <w:vertAlign w:val="subscript"/>
              </w:rPr>
              <w:t>​ ​</w:t>
            </w:r>
          </w:p>
        </w:tc>
        <w:tc>
          <w:tcPr>
            <w:tcW w:w="2160" w:type="dxa"/>
            <w:vAlign w:val="bottom"/>
            <w:gridSpan w:val="3"/>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WFOE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company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Pyjamas</w:t>
            </w:r>
          </w:p>
        </w:tc>
        <w:tc>
          <w:tcPr>
            <w:tcW w:w="208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Eliminations </w:t>
            </w:r>
            <w:r>
              <w:rPr>
                <w:rFonts w:ascii="Times New Roman" w:cs="Times New Roman" w:eastAsia="Times New Roman" w:hAnsi="Times New Roman"/>
                <w:sz w:val="24"/>
                <w:szCs w:val="24"/>
                <w:b w:val="1"/>
                <w:bCs w:val="1"/>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(7,166)​​ ​</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(58)​​ ​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 ​</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1,928 ​​ ​</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investing activities</w:t>
            </w: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17,400​​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17,400 ​​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206</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(15,435)​​ ​</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financing activities</w:t>
            </w:r>
          </w:p>
        </w:tc>
        <w:tc>
          <w:tcPr>
            <w:tcW w:w="2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18,891​​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(17,560)​​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(17,400)​​ ​</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17,433 ​​ ​</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 2022</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316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Hong Kong</w:t>
            </w: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96"/>
              </w:rPr>
              <w:t>VIE and its</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5"/>
          </w:tcPr>
          <w:p>
            <w:pPr>
              <w:ind w:left="1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Parent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WFOE </w:t>
            </w:r>
            <w:r>
              <w:rPr>
                <w:rFonts w:ascii="Times New Roman" w:cs="Times New Roman" w:eastAsia="Times New Roman" w:hAnsi="Times New Roman"/>
                <w:sz w:val="26"/>
                <w:szCs w:val="26"/>
                <w:b w:val="1"/>
                <w:bCs w:val="1"/>
                <w:color w:val="auto"/>
                <w:vertAlign w:val="subscript"/>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3060" w:type="dxa"/>
            <w:vAlign w:val="bottom"/>
            <w:gridSpan w:val="8"/>
          </w:tcPr>
          <w:p>
            <w:pPr>
              <w:ind w:left="1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subsidiaries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Eliminations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Consolidated 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1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vMerge w:val="restart"/>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31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activities</w:t>
            </w:r>
          </w:p>
        </w:tc>
        <w:tc>
          <w:tcPr>
            <w:tcW w:w="1280" w:type="dxa"/>
            <w:vAlign w:val="bottom"/>
            <w:gridSpan w:val="4"/>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(5,271)  (956)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(3,408)</w:t>
            </w:r>
          </w:p>
        </w:tc>
        <w:tc>
          <w:tcPr>
            <w:tcW w:w="3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05"/>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5"/>
              <w:spacing w:after="0" w:line="181" w:lineRule="exact"/>
              <w:rPr>
                <w:sz w:val="20"/>
                <w:szCs w:val="20"/>
                <w:color w:val="auto"/>
              </w:rPr>
            </w:pPr>
            <w:r>
              <w:rPr>
                <w:rFonts w:ascii="Times New Roman" w:cs="Times New Roman" w:eastAsia="Times New Roman" w:hAnsi="Times New Roman"/>
                <w:sz w:val="18"/>
                <w:szCs w:val="18"/>
                <w:color w:val="auto"/>
              </w:rPr>
              <w:t>(9,634)</w:t>
            </w:r>
          </w:p>
        </w:tc>
        <w:tc>
          <w:tcPr>
            <w:tcW w:w="120" w:type="dxa"/>
            <w:vAlign w:val="bottom"/>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3160" w:type="dxa"/>
            <w:vAlign w:val="bottom"/>
            <w:shd w:val="clear" w:color="auto" w:fill="CCEEFF"/>
          </w:tcPr>
          <w:p>
            <w:pPr>
              <w:spacing w:after="0"/>
              <w:rPr>
                <w:sz w:val="7"/>
                <w:szCs w:val="7"/>
                <w:color w:val="auto"/>
              </w:rPr>
            </w:pPr>
          </w:p>
        </w:tc>
        <w:tc>
          <w:tcPr>
            <w:tcW w:w="380" w:type="dxa"/>
            <w:vAlign w:val="bottom"/>
            <w:gridSpan w:val="2"/>
            <w:shd w:val="clear" w:color="auto" w:fill="CCEEFF"/>
          </w:tcPr>
          <w:p>
            <w:pPr>
              <w:ind w:left="100"/>
              <w:spacing w:after="0" w:line="8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3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jc w:val="right"/>
              <w:ind w:right="445"/>
              <w:spacing w:after="0" w:line="81"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jc w:val="right"/>
              <w:ind w:right="345"/>
              <w:spacing w:after="0" w:line="81"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jc w:val="right"/>
              <w:ind w:right="545"/>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00" w:type="dxa"/>
            <w:vAlign w:val="bottom"/>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46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600" w:type="dxa"/>
            <w:vAlign w:val="bottom"/>
            <w:gridSpan w:val="2"/>
          </w:tcPr>
          <w:p>
            <w:pPr>
              <w:jc w:val="right"/>
              <w:ind w:right="11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1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​(1,719) </w:t>
            </w:r>
            <w:r>
              <w:rPr>
                <w:rFonts w:ascii="Times New Roman" w:cs="Times New Roman" w:eastAsia="Times New Roman" w:hAnsi="Times New Roman"/>
                <w:sz w:val="32"/>
                <w:szCs w:val="32"/>
                <w:color w:val="auto"/>
                <w:vertAlign w:val="subscript"/>
              </w:rPr>
              <w:t>​​​</w:t>
            </w:r>
          </w:p>
        </w:tc>
        <w:tc>
          <w:tcPr>
            <w:tcW w:w="540" w:type="dxa"/>
            <w:vAlign w:val="bottom"/>
          </w:tcPr>
          <w:p>
            <w:pPr>
              <w:jc w:val="right"/>
              <w:ind w:right="205"/>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​(1,719)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980" w:type="dxa"/>
            <w:vAlign w:val="bottom"/>
            <w:gridSpan w:val="3"/>
            <w:shd w:val="clear" w:color="auto" w:fill="CCEEFF"/>
          </w:tcPr>
          <w:p>
            <w:pPr>
              <w:jc w:val="right"/>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​12,008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spacing w:after="0" w:line="275"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600" w:type="dxa"/>
            <w:vAlign w:val="bottom"/>
            <w:gridSpan w:val="2"/>
            <w:shd w:val="clear" w:color="auto" w:fill="CCEEFF"/>
          </w:tcPr>
          <w:p>
            <w:pPr>
              <w:jc w:val="right"/>
              <w:ind w:right="11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1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​(2,224) </w:t>
            </w:r>
            <w:r>
              <w:rPr>
                <w:rFonts w:ascii="Times New Roman" w:cs="Times New Roman" w:eastAsia="Times New Roman" w:hAnsi="Times New Roman"/>
                <w:sz w:val="31"/>
                <w:szCs w:val="31"/>
                <w:color w:val="auto"/>
                <w:vertAlign w:val="subscript"/>
              </w:rPr>
              <w:t>​​​</w:t>
            </w:r>
          </w:p>
        </w:tc>
        <w:tc>
          <w:tcPr>
            <w:tcW w:w="540" w:type="dxa"/>
            <w:vAlign w:val="bottom"/>
            <w:shd w:val="clear" w:color="auto" w:fill="CCEEFF"/>
          </w:tcPr>
          <w:p>
            <w:pPr>
              <w:jc w:val="right"/>
              <w:ind w:right="205"/>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5"/>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​9,784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ind w:left="1280" w:right="419" w:firstLine="360"/>
        <w:spacing w:after="0" w:line="271"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05" w:lineRule="exact"/>
        <w:rPr>
          <w:sz w:val="20"/>
          <w:szCs w:val="20"/>
          <w:color w:val="auto"/>
        </w:rPr>
      </w:pPr>
    </w:p>
    <w:p>
      <w:pPr>
        <w:ind w:left="1280" w:right="419" w:firstLine="360"/>
        <w:spacing w:after="0" w:line="262"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Our auditor, Marcum Asia CPAs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our auditor’s compliance with the applicable professional standards. Our auditor is headquartered in Manhattan,</w:t>
      </w:r>
    </w:p>
    <w:p>
      <w:pPr>
        <w:spacing w:after="0" w:line="3" w:lineRule="exact"/>
        <w:rPr>
          <w:sz w:val="20"/>
          <w:szCs w:val="20"/>
          <w:color w:val="auto"/>
        </w:rPr>
      </w:pPr>
    </w:p>
    <w:p>
      <w:pPr>
        <w:ind w:left="1280" w:right="539"/>
        <w:spacing w:after="0" w:line="265" w:lineRule="auto"/>
        <w:rPr>
          <w:sz w:val="20"/>
          <w:szCs w:val="20"/>
          <w:color w:val="auto"/>
        </w:rPr>
      </w:pPr>
      <w:r>
        <w:rPr>
          <w:rFonts w:ascii="Times New Roman" w:cs="Times New Roman" w:eastAsia="Times New Roman" w:hAnsi="Times New Roman"/>
          <w:sz w:val="18"/>
          <w:szCs w:val="18"/>
          <w:color w:val="auto"/>
        </w:rPr>
        <w:t>New York, and is subject to inspection by the PCAOB on a regular basis with the latest inspection in 2023. As of the date of this prospectus, our auditor is not among the firms listed on the PCAOB Determination List issued in December 2021. On December 15, 2022, the PCAOB removed mainland China and Hong Kong from the list of jurisdictions where it is unable to inspect or investigate completely registered public accounting firms. Accordingly, until such time as the PCAOB issues any new determination, there are no issuers at risk of having their securities subject to a trading prohibition under the HFCAA.</w:t>
      </w:r>
    </w:p>
    <w:p>
      <w:pPr>
        <w:spacing w:after="0" w:line="109" w:lineRule="exact"/>
        <w:rPr>
          <w:sz w:val="20"/>
          <w:szCs w:val="20"/>
          <w:color w:val="auto"/>
        </w:rPr>
      </w:pPr>
    </w:p>
    <w:p>
      <w:pPr>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certain jurisdictions and we use an accounting firm headquartered in one of such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 — Risks Related to Doing Business in China — 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200" w:lineRule="exact"/>
        <w:rPr>
          <w:sz w:val="20"/>
          <w:szCs w:val="20"/>
          <w:color w:val="auto"/>
        </w:rPr>
      </w:pP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In June 2016, Mr. Liwei “xiaOt” Sun, our director and president, founded Wuhan Xingjingweiwu Culture &amp; Sports Development Co., Ltd. (formerly known as Shanghai Xingao Culture Communications Co., Ltd.), or Wuhan ESVF, and commenced our esports team operations in China. In December 2018, Shenzhen Weiwu Esports Internet Technology Co., Ltd., or Shenzhen VF, was established by Mr. Mario Yau Kwan Ho, our co-chief executive officer, and was later merged with Wuhan ESVF in March 2021 with Shenzhen VF becoming a wholly-owned subsidiary of Wuhan ESVF.</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99" w:firstLine="360"/>
        <w:spacing w:after="0" w:line="258" w:lineRule="auto"/>
        <w:rPr>
          <w:sz w:val="20"/>
          <w:szCs w:val="20"/>
          <w:color w:val="auto"/>
        </w:rPr>
      </w:pPr>
      <w:r>
        <w:rPr>
          <w:rFonts w:ascii="Times New Roman" w:cs="Times New Roman" w:eastAsia="Times New Roman" w:hAnsi="Times New Roman"/>
          <w:sz w:val="18"/>
          <w:szCs w:val="18"/>
          <w:color w:val="auto"/>
        </w:rPr>
        <w:t>NIP Group Inc., formerly known as ESVF Esports Group Inc., was incorporated as an exempted company with limited liability in the Cayman Islands as our holding company on February 5, 2021. We changed our name from ESVF Esports Group Inc. to our current name, NIP Group Inc., in March 2023.</w:t>
      </w:r>
    </w:p>
    <w:p>
      <w:pPr>
        <w:spacing w:after="0" w:line="102"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In March 2021, we established a wholly- owned subsidiary in Hong Kong, namely, ESVF (Hong Kong) Esports Limited, or Hong Kong ESVF, which is our intermediary holding company in Hong Kong. In</w:t>
      </w:r>
    </w:p>
    <w:p>
      <w:pPr>
        <w:ind w:left="1280" w:right="419"/>
        <w:spacing w:after="0" w:line="241" w:lineRule="auto"/>
        <w:rPr>
          <w:sz w:val="20"/>
          <w:szCs w:val="20"/>
          <w:color w:val="auto"/>
        </w:rPr>
      </w:pPr>
      <w:r>
        <w:rPr>
          <w:rFonts w:ascii="Times New Roman" w:cs="Times New Roman" w:eastAsia="Times New Roman" w:hAnsi="Times New Roman"/>
          <w:sz w:val="18"/>
          <w:szCs w:val="18"/>
          <w:color w:val="auto"/>
        </w:rPr>
        <w:t>July 2021, Hong Kong ESVF established a wholly-owned subsidiary, Wuhan Muyecun Network Technology Co., Ltd., or Wuhan Muyecun, as the holding company of our business in China. Wuhan Muyecun then gained control over Wuhan ESVF by entering into a series of contractual arrangements with Wuhan ESVF and its shareholders. We have completed the Restructuring in June 2023, and in connection therewith, our WFOE, Wuhan ESVF and shareholders of Wuhan ESVF entered into a VIE Termination Agreement, pursuant to which, the VIE Agreements were terminated with immediate effect. See “— Our Corporate Structure.”</w:t>
      </w:r>
    </w:p>
    <w:p>
      <w:pPr>
        <w:spacing w:after="0" w:line="328" w:lineRule="exact"/>
        <w:rPr>
          <w:sz w:val="20"/>
          <w:szCs w:val="20"/>
          <w:color w:val="auto"/>
        </w:rPr>
      </w:pPr>
    </w:p>
    <w:p>
      <w:pPr>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In January 2023, we completed the merger between NIP Group Inc. and Ninjas in Pyjamas Gaming AB, a Swedish esports company with more than 20 years of operating history in the esports industry, through a series of share swap transactions, with Ninjas in Pyjamas Gaming AB becoming a wholly-owned subsidiary of NIP Group Inc. upon completion of the transactions, marking our global operation under the name of NIP Group.</w:t>
      </w: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As a result, our operating results and financial statements may not be comparable to the operating results and financial statements of other companies who have adopted the new or revised accounting standards.</w:t>
      </w:r>
    </w:p>
    <w:p>
      <w:pPr>
        <w:spacing w:after="0" w:line="327"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revenues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48"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If followed by us, these practices may afford less protection to shareholders than they would enjoy if we complied fully with the Nasdaq Global Market corporate governance listing standards.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59" w:firstLine="360"/>
        <w:spacing w:after="0" w:line="250" w:lineRule="auto"/>
        <w:rPr>
          <w:sz w:val="20"/>
          <w:szCs w:val="20"/>
          <w:color w:val="auto"/>
        </w:rPr>
      </w:pPr>
      <w:r>
        <w:rPr>
          <w:rFonts w:ascii="Times New Roman" w:cs="Times New Roman" w:eastAsia="Times New Roman" w:hAnsi="Times New Roman"/>
          <w:sz w:val="18"/>
          <w:szCs w:val="18"/>
          <w:color w:val="auto"/>
        </w:rPr>
        <w:t>Our principal executive offices are located at Rosenlundsgatan 31, 11 863, Stockholm, Sweden. Our telephone number at this address is +46 705775564. Our registered office in the Cayman Islands is located at the offices of Osiris International Cayman Limited, Suite #4-210, Governors Square, 23 Lime Tree Bay Avenue, PO Box 32311, Grand Cayman KY1-1209, Cayman Islands.</w:t>
      </w:r>
    </w:p>
    <w:p>
      <w:pPr>
        <w:spacing w:after="0" w:line="11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main websites are https://esv5.com and https://nip.gl. The information contained on our website is not a part of this prospectus. Our agent for service of process in the United States is Cogency Global Inc., located at 122 East 42nd Street, 18th Floor New York, NY 10168.</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17" w:lineRule="exact"/>
        <w:rPr>
          <w:sz w:val="20"/>
          <w:szCs w:val="20"/>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1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ordinary shares;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are to compound annual growth rate;</w:t>
      </w:r>
    </w:p>
    <w:p>
      <w:pPr>
        <w:spacing w:after="0" w:line="10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excluding, for the purposes of this prospectus only, Hong Kong, Macau and Taiwan;</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are to Ninjas in Pyjamas Gaming AB;</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 are to Wuhan Muyecun Network Technology Co., Ltd.;</w:t>
      </w:r>
    </w:p>
    <w:p>
      <w:pPr>
        <w:spacing w:after="0" w:line="117" w:lineRule="exact"/>
        <w:rPr>
          <w:rFonts w:ascii="Times New Roman" w:cs="Times New Roman" w:eastAsia="Times New Roman" w:hAnsi="Times New Roman"/>
          <w:sz w:val="18"/>
          <w:szCs w:val="18"/>
          <w:color w:val="auto"/>
        </w:rPr>
      </w:pPr>
    </w:p>
    <w:p>
      <w:pPr>
        <w:ind w:left="1820" w:right="6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are to a series of restructuring transactions in June 2023 to terminate the historical contractual arrangements with the former VIE, which have become our wholly-owned subsidiary.</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our ordinary shares, par value US$0.0001 per share;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“SEK” and “Swedish Krona” are to the legal currency of Sweden;</w:t>
      </w:r>
    </w:p>
    <w:p>
      <w:pPr>
        <w:spacing w:after="0" w:line="117" w:lineRule="exact"/>
        <w:rPr>
          <w:rFonts w:ascii="Times New Roman" w:cs="Times New Roman" w:eastAsia="Times New Roman" w:hAnsi="Times New Roman"/>
          <w:sz w:val="18"/>
          <w:szCs w:val="18"/>
          <w:color w:val="auto"/>
        </w:rPr>
      </w:pPr>
    </w:p>
    <w:p>
      <w:pPr>
        <w:ind w:left="1820" w:right="145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or “the former VIE” are to the former variable interest entity, namely Wuhan Xingjingweiwu Culture &amp; Sports Development Co., Ltd., or “Wuhan ESVF”;</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 and</w:t>
      </w:r>
    </w:p>
    <w:p>
      <w:pPr>
        <w:spacing w:after="0" w:line="117" w:lineRule="exact"/>
        <w:rPr>
          <w:rFonts w:ascii="Times New Roman" w:cs="Times New Roman" w:eastAsia="Times New Roman" w:hAnsi="Times New Roman"/>
          <w:sz w:val="18"/>
          <w:szCs w:val="18"/>
          <w:color w:val="auto"/>
        </w:rPr>
      </w:pPr>
    </w:p>
    <w:p>
      <w:pPr>
        <w:ind w:left="1820" w:right="479" w:hanging="182"/>
        <w:spacing w:after="0" w:line="259"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or “our” are to NIP Group Inc., formerly known as ESVF Esports Group Inc., a Cayman Islands exempted company, and its subsidiaries and their respective subsidiaries, as the context requires (and, in the context of describing NIP Group’s operations and consolidated financial information, also the VIE and the VIE’s subsidiaries for the periods ended prior to the Restructuring).</w:t>
      </w:r>
    </w:p>
    <w:p>
      <w:pPr>
        <w:spacing w:after="0" w:line="335" w:lineRule="exact"/>
        <w:rPr>
          <w:sz w:val="20"/>
          <w:szCs w:val="20"/>
          <w:color w:val="auto"/>
        </w:rPr>
      </w:pPr>
    </w:p>
    <w:p>
      <w:pPr>
        <w:ind w:left="1280" w:right="659" w:firstLine="360"/>
        <w:spacing w:after="0" w:line="253" w:lineRule="auto"/>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assumes no exercise by the underwriters of their option to purchase up to                      additional ADSs representing</w:t>
      </w:r>
    </w:p>
    <w:p>
      <w:pPr>
        <w:ind w:left="1280"/>
        <w:spacing w:after="0"/>
        <w:rPr>
          <w:sz w:val="20"/>
          <w:szCs w:val="20"/>
          <w:color w:val="auto"/>
        </w:rPr>
      </w:pPr>
      <w:r>
        <w:rPr>
          <w:rFonts w:ascii="Times New Roman" w:cs="Times New Roman" w:eastAsia="Times New Roman" w:hAnsi="Times New Roman"/>
          <w:sz w:val="18"/>
          <w:szCs w:val="18"/>
          <w:color w:val="auto"/>
        </w:rPr>
        <w:t>                    ordinary shares.</w:t>
      </w:r>
    </w:p>
    <w:p>
      <w:pPr>
        <w:spacing w:after="0" w:line="126"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prospectus are made at a rate of RMB6.8972 to US$ 1.00, the exchange rate in effect as of December 30, 2022, or at RMB7.0999 to US$1.00, the exchange rate in effect as of December 29, 2023 as set forth in the H.10 statistical release of The Board of Governors of the Federal Reserve System. All translations from Swedish Krona to U.S. Dollars and from U.S. dollars to Swedish Krona are made at a rate of SEK10.0506 to US$ 1.00, the exchange rate in effect as of December 29, 2023. We make no representation that any Renminbi or U.S. dollar amounts could have been, or could be, converted into U.S. dollars or Renminbi, as the case may be, at any particular rate, or at all. Due to rounding, numbers presented throughout this prospectus may not add up precisely to the totals provided and percentages may</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 precisely reflect the absolute figures.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Offering price</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333" w:lineRule="exact"/>
        <w:rPr>
          <w:sz w:val="20"/>
          <w:szCs w:val="20"/>
          <w:color w:val="auto"/>
        </w:rPr>
      </w:pPr>
    </w:p>
    <w:p>
      <w:pPr>
        <w:ind w:left="1460" w:right="480" w:hanging="179"/>
        <w:spacing w:after="0" w:line="282" w:lineRule="auto"/>
        <w:rPr>
          <w:sz w:val="20"/>
          <w:szCs w:val="20"/>
          <w:color w:val="auto"/>
        </w:rPr>
      </w:pPr>
      <w:r>
        <w:rPr>
          <w:rFonts w:ascii="Times New Roman" w:cs="Times New Roman" w:eastAsia="Times New Roman" w:hAnsi="Times New Roman"/>
          <w:sz w:val="18"/>
          <w:szCs w:val="18"/>
          <w:color w:val="auto"/>
        </w:rPr>
        <w:t>ADSs issued and outstanding immediately after this offering</w:t>
      </w:r>
    </w:p>
    <w:p>
      <w:pPr>
        <w:spacing w:after="0" w:line="270"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Ordinary shares issued and outstanding immediately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Option to purchase additional</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ADSs</w:t>
      </w:r>
    </w:p>
    <w:p>
      <w:pPr>
        <w:spacing w:after="0" w:line="200" w:lineRule="exact"/>
        <w:rPr>
          <w:sz w:val="20"/>
          <w:szCs w:val="20"/>
          <w:color w:val="auto"/>
        </w:rPr>
      </w:pPr>
    </w:p>
    <w:p>
      <w:pPr>
        <w:spacing w:after="0" w:line="3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6" w:right="459"/>
        <w:spacing w:after="0" w:line="282" w:lineRule="auto"/>
        <w:rPr>
          <w:sz w:val="20"/>
          <w:szCs w:val="20"/>
          <w:color w:val="auto"/>
        </w:rPr>
      </w:pPr>
      <w:r>
        <w:rPr>
          <w:rFonts w:ascii="Times New Roman" w:cs="Times New Roman" w:eastAsia="Times New Roman" w:hAnsi="Times New Roman"/>
          <w:sz w:val="18"/>
          <w:szCs w:val="18"/>
          <w:color w:val="auto"/>
        </w:rPr>
        <w:t>We currently estimate that the initial public offering price will be between US$            and US$            per ADS.</w:t>
      </w:r>
    </w:p>
    <w:p>
      <w:pPr>
        <w:spacing w:after="0" w:line="54" w:lineRule="exact"/>
        <w:rPr>
          <w:sz w:val="20"/>
          <w:szCs w:val="20"/>
          <w:color w:val="auto"/>
        </w:rPr>
      </w:pPr>
    </w:p>
    <w:p>
      <w:pPr>
        <w:ind w:left="6" w:right="399" w:hanging="6"/>
        <w:spacing w:after="0" w:line="282" w:lineRule="auto"/>
        <w:tabs>
          <w:tab w:leader="none" w:pos="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ADSs (or                ADSs if the underwriters exercise their option to purchase additional ADSs in full).</w:t>
      </w:r>
    </w:p>
    <w:p>
      <w:pPr>
        <w:spacing w:after="0" w:line="269" w:lineRule="exact"/>
        <w:rPr>
          <w:rFonts w:ascii="Times New Roman" w:cs="Times New Roman" w:eastAsia="Times New Roman" w:hAnsi="Times New Roman"/>
          <w:sz w:val="18"/>
          <w:szCs w:val="18"/>
          <w:color w:val="auto"/>
        </w:rPr>
      </w:pPr>
    </w:p>
    <w:p>
      <w:pPr>
        <w:ind w:left="6" w:right="399" w:hanging="6"/>
        <w:spacing w:after="0" w:line="282" w:lineRule="auto"/>
        <w:tabs>
          <w:tab w:leader="none" w:pos="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ADSs (or                ADSs if the underwriters exercise their option to purchase additional ADSs in full).</w:t>
      </w:r>
    </w:p>
    <w:p>
      <w:pPr>
        <w:spacing w:after="0" w:line="269" w:lineRule="exact"/>
        <w:rPr>
          <w:rFonts w:ascii="Times New Roman" w:cs="Times New Roman" w:eastAsia="Times New Roman" w:hAnsi="Times New Roman"/>
          <w:sz w:val="18"/>
          <w:szCs w:val="18"/>
          <w:color w:val="auto"/>
        </w:rPr>
      </w:pPr>
    </w:p>
    <w:p>
      <w:pPr>
        <w:ind w:left="6" w:right="619" w:hanging="6"/>
        <w:spacing w:after="0" w:line="266" w:lineRule="auto"/>
        <w:tabs>
          <w:tab w:leader="none" w:pos="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(or                ordinary shares if the underwriters exercise their option to purchase additional ADSs in full).</w:t>
      </w:r>
    </w:p>
    <w:p>
      <w:pPr>
        <w:spacing w:after="0" w:line="68" w:lineRule="exact"/>
        <w:rPr>
          <w:sz w:val="20"/>
          <w:szCs w:val="20"/>
          <w:color w:val="auto"/>
        </w:rPr>
      </w:pPr>
    </w:p>
    <w:p>
      <w:pPr>
        <w:ind w:left="6" w:right="739"/>
        <w:spacing w:after="0" w:line="282" w:lineRule="auto"/>
        <w:rPr>
          <w:sz w:val="20"/>
          <w:szCs w:val="20"/>
          <w:color w:val="auto"/>
        </w:rPr>
      </w:pPr>
      <w:r>
        <w:rPr>
          <w:rFonts w:ascii="Times New Roman" w:cs="Times New Roman" w:eastAsia="Times New Roman" w:hAnsi="Times New Roman"/>
          <w:sz w:val="18"/>
          <w:szCs w:val="18"/>
          <w:color w:val="auto"/>
        </w:rPr>
        <w:t>Each ADS represents                           ordinary shares, par value US$0.0001 per share.</w:t>
      </w:r>
    </w:p>
    <w:p>
      <w:pPr>
        <w:spacing w:after="0" w:line="94" w:lineRule="exact"/>
        <w:rPr>
          <w:sz w:val="20"/>
          <w:szCs w:val="20"/>
          <w:color w:val="auto"/>
        </w:rPr>
      </w:pPr>
    </w:p>
    <w:p>
      <w:pPr>
        <w:ind w:left="6" w:right="419"/>
        <w:spacing w:after="0" w:line="250" w:lineRule="auto"/>
        <w:rPr>
          <w:sz w:val="20"/>
          <w:szCs w:val="20"/>
          <w:color w:val="auto"/>
        </w:rPr>
      </w:pPr>
      <w:r>
        <w:rPr>
          <w:rFonts w:ascii="Times New Roman" w:cs="Times New Roman" w:eastAsia="Times New Roman" w:hAnsi="Times New Roman"/>
          <w:sz w:val="18"/>
          <w:szCs w:val="18"/>
          <w:color w:val="auto"/>
        </w:rPr>
        <w:t>The depositary (or its nominee) will hold ordinary shares underlying your ADSs. You will have rights as provided in the deposit agreement among us, the depositary and holders and beneficial owners of ADSs from time to time.</w:t>
      </w:r>
    </w:p>
    <w:p>
      <w:pPr>
        <w:spacing w:after="0" w:line="110" w:lineRule="exact"/>
        <w:rPr>
          <w:sz w:val="20"/>
          <w:szCs w:val="20"/>
          <w:color w:val="auto"/>
        </w:rPr>
      </w:pPr>
    </w:p>
    <w:p>
      <w:pPr>
        <w:ind w:left="6" w:right="459"/>
        <w:spacing w:after="0" w:line="247"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If, however, we declare dividends on our ordinary shares, the depositary will pay you the cash dividends and other distributions it receives on our ordinary shares after deducting its fees and expenses in accordance with the terms set forth in the deposit agreement.</w:t>
      </w:r>
    </w:p>
    <w:p>
      <w:pPr>
        <w:spacing w:after="0" w:line="112" w:lineRule="exact"/>
        <w:rPr>
          <w:sz w:val="20"/>
          <w:szCs w:val="20"/>
          <w:color w:val="auto"/>
        </w:rPr>
      </w:pPr>
    </w:p>
    <w:p>
      <w:pPr>
        <w:ind w:left="6" w:right="619"/>
        <w:spacing w:after="0" w:line="250" w:lineRule="auto"/>
        <w:rPr>
          <w:sz w:val="20"/>
          <w:szCs w:val="20"/>
          <w:color w:val="auto"/>
        </w:rPr>
      </w:pPr>
      <w:r>
        <w:rPr>
          <w:rFonts w:ascii="Times New Roman" w:cs="Times New Roman" w:eastAsia="Times New Roman" w:hAnsi="Times New Roman"/>
          <w:sz w:val="18"/>
          <w:szCs w:val="18"/>
          <w:color w:val="auto"/>
        </w:rPr>
        <w:t>You may surrender your ADSs to the depositary for cancellation in exchange for the underlying ordinary shares. The depositary will charge you fees for any cancellation.</w:t>
      </w:r>
    </w:p>
    <w:p>
      <w:pPr>
        <w:spacing w:after="0" w:line="109" w:lineRule="exact"/>
        <w:rPr>
          <w:sz w:val="20"/>
          <w:szCs w:val="20"/>
          <w:color w:val="auto"/>
        </w:rPr>
      </w:pPr>
    </w:p>
    <w:p>
      <w:pPr>
        <w:ind w:left="6" w:right="599"/>
        <w:spacing w:after="0" w:line="250" w:lineRule="auto"/>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 hold your ADSs after an amendment to the deposit agreement, you agree to be bound by the deposit agreement as amended.</w:t>
      </w:r>
    </w:p>
    <w:p>
      <w:pPr>
        <w:spacing w:after="0" w:line="110" w:lineRule="exact"/>
        <w:rPr>
          <w:sz w:val="20"/>
          <w:szCs w:val="20"/>
          <w:color w:val="auto"/>
        </w:rPr>
      </w:pPr>
    </w:p>
    <w:p>
      <w:pPr>
        <w:ind w:left="6" w:right="639"/>
        <w:spacing w:after="0" w:line="250"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285" w:lineRule="exact"/>
        <w:rPr>
          <w:sz w:val="20"/>
          <w:szCs w:val="20"/>
          <w:color w:val="auto"/>
        </w:rPr>
      </w:pPr>
    </w:p>
    <w:p>
      <w:pPr>
        <w:ind w:left="6" w:right="399"/>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within 30 days from the date of this prospectus, to purchase up to an aggregate of                additional ADSs.</w:t>
      </w:r>
    </w:p>
    <w:p>
      <w:pPr>
        <w:spacing w:after="0" w:line="68" w:lineRule="exact"/>
        <w:rPr>
          <w:sz w:val="20"/>
          <w:szCs w:val="20"/>
          <w:color w:val="auto"/>
        </w:rPr>
      </w:pPr>
    </w:p>
    <w:p>
      <w:pPr>
        <w:ind w:left="6" w:right="619"/>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            million from this offering, assuming an initial public offering price of US$            per ADS, which is the midpoint of the estimated range of the initial public offering price, after deducting underwriting discounts and commissions and estimated offering expenses payable by us.</w:t>
      </w:r>
    </w:p>
    <w:p>
      <w:pPr>
        <w:spacing w:after="0" w:line="1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w:t>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expanding the presence of our esports teams and our talent</w:t>
      </w:r>
    </w:p>
    <w:p>
      <w:pPr>
        <w:spacing w:after="0" w:line="200" w:lineRule="exact"/>
        <w:rPr>
          <w:sz w:val="20"/>
          <w:szCs w:val="20"/>
          <w:color w:val="auto"/>
        </w:rPr>
      </w:pPr>
    </w:p>
    <w:p>
      <w:pPr>
        <w:sectPr>
          <w:pgSz w:w="11900" w:h="16838" w:orient="portrait"/>
          <w:cols w:equalWidth="0" w:num="2">
            <w:col w:w="4240" w:space="494"/>
            <w:col w:w="5145"/>
          </w:cols>
          <w:pgMar w:left="580" w:top="97" w:right="1440" w:bottom="1440" w:gutter="0" w:footer="0" w:header="0"/>
          <w:type w:val="continuous"/>
        </w:sectPr>
      </w:pPr>
    </w:p>
    <w:p>
      <w:pPr>
        <w:spacing w:after="0" w:line="1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management and event production capabilities, (ii) the</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marketing and growth of our fan base, potential strategic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acquisition and investment opportunities, including marketing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and promotional campaigns and events to enhance our brand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gravity, grow our fan base and enhance fan engagement,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(iii) potential strategic acquisition and investment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opportunities to supplement our organic growth, as well as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working capital and other general corporate purposes. See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“Use of Proceeds” for more information.</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8"/>
          <w:szCs w:val="18"/>
          <w:color w:val="auto"/>
        </w:rPr>
        <w:t>We [and each of our officers, directors and existing</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shareholders, and holders of our outstanding share incentive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awards] have agreed with the underwriters, subject to certain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exceptions, not to sell, transfer or otherwise dispose of any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ADSs, ordinary shares or similar securities for a period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[180] days after the date of this prospectus. See “Shares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Eligible for Future Sale” and “Underwriting” for more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information.</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intend to apply to have the ADSs listed on the Nasdaq</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under the symbol “NIPG.” The ADSs and our ordinary shares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will not be listed on any other stock exchange or traded on any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automated quotation system.</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Payment and settlement</w:t>
      </w:r>
      <w:r>
        <w:rPr>
          <w:sz w:val="20"/>
          <w:szCs w:val="20"/>
          <w:color w:val="auto"/>
        </w:rPr>
        <w:tab/>
      </w:r>
      <w:r>
        <w:rPr>
          <w:rFonts w:ascii="Times New Roman" w:cs="Times New Roman" w:eastAsia="Times New Roman" w:hAnsi="Times New Roman"/>
          <w:sz w:val="18"/>
          <w:szCs w:val="18"/>
          <w:color w:val="auto"/>
        </w:rPr>
        <w:t>The underwriters expect to deliver the ADSs against payment</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therefor through the facilities of the Depository Trust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Company on                      , 2024.</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Depositary</w:t>
      </w:r>
      <w:r>
        <w:rPr>
          <w:sz w:val="20"/>
          <w:szCs w:val="20"/>
          <w:color w:val="auto"/>
        </w:rPr>
        <w:tab/>
      </w:r>
      <w:r>
        <w:rPr>
          <w:rFonts w:ascii="Times New Roman" w:cs="Times New Roman" w:eastAsia="Times New Roman" w:hAnsi="Times New Roman"/>
          <w:sz w:val="18"/>
          <w:szCs w:val="18"/>
          <w:color w:val="auto"/>
        </w:rPr>
        <w:t>Citibank, N.A.</w:t>
      </w:r>
    </w:p>
    <w:p>
      <w:pPr>
        <w:spacing w:after="0" w:line="158" w:lineRule="exact"/>
        <w:rPr>
          <w:sz w:val="20"/>
          <w:szCs w:val="20"/>
          <w:color w:val="auto"/>
        </w:rPr>
      </w:pPr>
    </w:p>
    <w:p>
      <w:pPr>
        <w:ind w:left="1280" w:right="7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no exercise of the option granted to the underwriters to purchase up to additional                               ADSs, if any, in connection with the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08"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and comprehensive loss data and summary consolidated statements of cash flow data for the years ended December 31, 2022 and 2023 summary consolidated balance sheet data as of December 31, 2022 and 2023, have been derived from our consolidated financial statements included elsewhere in this prospectus. Our consolidated financial statements are prepared and presented in accordance with accounting principles generally accepted in the United States of America, or U.S. GAAP. Our historical results do not necessarily indicate results expected for any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40" w:lineRule="exact"/>
        <w:rPr>
          <w:sz w:val="20"/>
          <w:szCs w:val="20"/>
          <w:color w:val="auto"/>
        </w:rPr>
      </w:pPr>
    </w:p>
    <w:p>
      <w:pPr>
        <w:jc w:val="both"/>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results of operations and comprehensive loss data, both in absolute amount and as a percentage of the total revenues, for the years indicated.</w:t>
      </w:r>
    </w:p>
    <w:p>
      <w:pPr>
        <w:sectPr>
          <w:pgSz w:w="11900" w:h="16838" w:orient="portrait"/>
          <w:cols w:equalWidth="0" w:num="1">
            <w:col w:w="9879"/>
          </w:cols>
          <w:pgMar w:left="580" w:top="97" w:right="1440" w:bottom="1440" w:gutter="0" w:footer="0" w:header="0"/>
        </w:sectPr>
      </w:pPr>
    </w:p>
    <w:p>
      <w:pPr>
        <w:spacing w:after="0" w:line="156"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2"/>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378"/>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Pr>
          <w:p>
            <w:pPr>
              <w:jc w:val="center"/>
              <w:ind w:left="2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Pr>
          <w:p>
            <w:pPr>
              <w:jc w:val="center"/>
              <w:ind w:left="2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6"/>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2"/>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 ​</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spacing w:after="0"/>
              <w:rPr>
                <w:sz w:val="19"/>
                <w:szCs w:val="19"/>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6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7"/>
                <w:szCs w:val="17"/>
                <w:b w:val="1"/>
                <w:bCs w:val="1"/>
                <w:color w:val="auto"/>
                <w:vertAlign w:val="superscript"/>
              </w:rPr>
              <w:t>(2)</w:t>
            </w:r>
          </w:p>
        </w:tc>
        <w:tc>
          <w:tcPr>
            <w:tcW w:w="320" w:type="dxa"/>
            <w:vAlign w:val="bottom"/>
          </w:tcPr>
          <w:p>
            <w:pPr>
              <w:spacing w:after="0"/>
              <w:rPr>
                <w:sz w:val="19"/>
                <w:szCs w:val="19"/>
                <w:color w:val="auto"/>
              </w:rPr>
            </w:pPr>
          </w:p>
        </w:tc>
      </w:tr>
      <w:tr>
        <w:trPr>
          <w:trHeight w:val="144"/>
        </w:trPr>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48"/>
              <w:spacing w:after="0" w:line="145"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r>
      <w:tr>
        <w:trPr>
          <w:trHeight w:val="214"/>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5"/>
              </w:rPr>
              <w:t>(Unaudited)</w:t>
            </w:r>
            <w:r>
              <w:rPr>
                <w:rFonts w:ascii="Times New Roman" w:cs="Times New Roman" w:eastAsia="Times New Roman" w:hAnsi="Times New Roman"/>
                <w:sz w:val="17"/>
                <w:szCs w:val="17"/>
                <w:b w:val="1"/>
                <w:bCs w:val="1"/>
                <w:color w:val="auto"/>
                <w:w w:val="95"/>
                <w:vertAlign w:val="superscript"/>
              </w:rPr>
              <w:t>(1)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3"/>
        </w:trPr>
        <w:tc>
          <w:tcPr>
            <w:tcW w:w="8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8"/>
              <w:spacing w:after="0" w:line="243"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8"/>
              <w:spacing w:after="0" w:line="243"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8"/>
                <w:szCs w:val="28"/>
                <w:b w:val="1"/>
                <w:bCs w:val="1"/>
                <w:color w:val="auto"/>
                <w:vertAlign w:val="subscript"/>
              </w:rPr>
              <w:t>​​</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r>
    </w:tbl>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 except for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62" w:hanging="62"/>
        <w:spacing w:after="0"/>
        <w:tabs>
          <w:tab w:leader="none" w:pos="62"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68" w:lineRule="exact"/>
        <w:rPr>
          <w:rFonts w:ascii="Times New Roman" w:cs="Times New Roman" w:eastAsia="Times New Roman" w:hAnsi="Times New Roman"/>
          <w:sz w:val="14"/>
          <w:szCs w:val="14"/>
          <w:b w:val="1"/>
          <w:bCs w:val="1"/>
          <w:color w:val="auto"/>
        </w:rPr>
      </w:pPr>
    </w:p>
    <w:p>
      <w:pPr>
        <w:ind w:left="22"/>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40" w:lineRule="exact"/>
        <w:rPr>
          <w:sz w:val="20"/>
          <w:szCs w:val="20"/>
          <w:color w:val="auto"/>
        </w:rPr>
      </w:pPr>
    </w:p>
    <w:p>
      <w:pPr>
        <w:sectPr>
          <w:pgSz w:w="11900" w:h="16838" w:orient="portrait"/>
          <w:cols w:equalWidth="0" w:num="3">
            <w:col w:w="5940" w:space="180"/>
            <w:col w:w="3220" w:space="4294967295"/>
            <w:col w:w="542"/>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74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65,835​​​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73,208​​​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83,668​​​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74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(62,093​​​)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(65,750​​​)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(89.8​​)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(76,470​​​)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7,458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10.2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7,198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(5,495​​​)</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(7,208​​​)</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(6,577​​​)</w:t>
            </w:r>
            <w:r>
              <w:rPr>
                <w:rFonts w:ascii="Times New Roman" w:cs="Times New Roman" w:eastAsia="Times New Roman" w:hAnsi="Times New Roman"/>
                <w:sz w:val="18"/>
                <w:szCs w:val="18"/>
                <w:b w:val="1"/>
                <w:bCs w:val="1"/>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9"/>
        </w:trPr>
        <w:tc>
          <w:tcPr>
            <w:tcW w:w="4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w w:val="98"/>
              </w:rPr>
              <w:t>(6,328)</w:t>
            </w:r>
          </w:p>
        </w:tc>
        <w:tc>
          <w:tcPr>
            <w:tcW w:w="80" w:type="dxa"/>
            <w:vAlign w:val="bottom"/>
          </w:tcPr>
          <w:p>
            <w:pPr>
              <w:spacing w:after="0"/>
              <w:rPr>
                <w:sz w:val="16"/>
                <w:szCs w:val="16"/>
                <w:color w:val="auto"/>
              </w:rPr>
            </w:pPr>
          </w:p>
        </w:tc>
        <w:tc>
          <w:tcPr>
            <w:tcW w:w="420" w:type="dxa"/>
            <w:vAlign w:val="bottom"/>
            <w:gridSpan w:val="2"/>
          </w:tcPr>
          <w:p>
            <w:pPr>
              <w:jc w:val="right"/>
              <w:ind w:right="4"/>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6"/>
                <w:szCs w:val="16"/>
                <w:color w:val="auto"/>
              </w:rPr>
            </w:pPr>
          </w:p>
        </w:tc>
        <w:tc>
          <w:tcPr>
            <w:tcW w:w="2280" w:type="dxa"/>
            <w:vAlign w:val="bottom"/>
            <w:gridSpan w:val="13"/>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(7,823) (10.7) (15,273) (18.3)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0"/>
          </w:tcPr>
          <w:p>
            <w:pPr>
              <w:jc w:val="right"/>
              <w:ind w:right="55"/>
              <w:spacing w:after="0" w:line="182" w:lineRule="exact"/>
              <w:rPr>
                <w:sz w:val="20"/>
                <w:szCs w:val="20"/>
                <w:color w:val="auto"/>
              </w:rPr>
            </w:pPr>
            <w:r>
              <w:rPr>
                <w:rFonts w:ascii="Times New Roman" w:cs="Times New Roman" w:eastAsia="Times New Roman" w:hAnsi="Times New Roman"/>
                <w:sz w:val="18"/>
                <w:szCs w:val="18"/>
                <w:b w:val="1"/>
                <w:bCs w:val="1"/>
                <w:color w:val="auto"/>
              </w:rPr>
              <w:t>(11,823) (18.0) (15,031) (20.5) (21,850) (26.2)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520" w:type="dxa"/>
            <w:vAlign w:val="bottom"/>
            <w:shd w:val="clear" w:color="auto" w:fill="CCEEFF"/>
          </w:tcPr>
          <w:p>
            <w:pPr>
              <w:spacing w:after="0"/>
              <w:rPr>
                <w:sz w:val="4"/>
                <w:szCs w:val="4"/>
                <w:color w:val="auto"/>
              </w:rPr>
            </w:pP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8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(8,081​​​​(12).3​​​​)</w:t>
            </w:r>
          </w:p>
        </w:tc>
        <w:tc>
          <w:tcPr>
            <w:tcW w:w="200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(7,573​​​​(10).3​​​(14,652​​​​(17))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2,001​​​</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1,989​​​</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w:t>
            </w:r>
            <w:r>
              <w:rPr>
                <w:rFonts w:ascii="Times New Roman" w:cs="Times New Roman" w:eastAsia="Times New Roman" w:hAnsi="Times New Roman"/>
                <w:sz w:val="18"/>
                <w:szCs w:val="18"/>
                <w:b w:val="1"/>
                <w:bCs w:val="1"/>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6"/>
                <w:szCs w:val="16"/>
                <w:color w:val="auto"/>
              </w:rPr>
            </w:pPr>
          </w:p>
        </w:tc>
        <w:tc>
          <w:tcPr>
            <w:tcW w:w="420" w:type="dxa"/>
            <w:vAlign w:val="bottom"/>
            <w:gridSpan w:val="2"/>
          </w:tcPr>
          <w:p>
            <w:pPr>
              <w:jc w:val="right"/>
              <w:ind w:right="4"/>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6"/>
                <w:szCs w:val="16"/>
                <w:color w:val="auto"/>
              </w:rPr>
            </w:pP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6"/>
                <w:szCs w:val="16"/>
                <w:color w:val="auto"/>
              </w:rPr>
            </w:pPr>
          </w:p>
        </w:tc>
        <w:tc>
          <w:tcPr>
            <w:tcW w:w="460" w:type="dxa"/>
            <w:vAlign w:val="bottom"/>
            <w:gridSpan w:val="3"/>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20" w:type="dxa"/>
            <w:vAlign w:val="bottom"/>
            <w:shd w:val="clear" w:color="auto" w:fill="CCEEFF"/>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1,636​​​​</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1,529​​​​</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193​​​​</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(6,445​​​​)</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(6,044​​​​)</w:t>
            </w:r>
          </w:p>
        </w:tc>
        <w:tc>
          <w:tcPr>
            <w:tcW w:w="134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(8.2​​​(14,459​​​​(17))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189"/>
        </w:trPr>
        <w:tc>
          <w:tcPr>
            <w:tcW w:w="45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75"/>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1,201</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15"/>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shd w:val="clear" w:color="auto" w:fill="CCEEFF"/>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jc w:val="right"/>
              <w:ind w:right="15"/>
              <w:spacing w:after="0" w:line="182" w:lineRule="exact"/>
              <w:rPr>
                <w:sz w:val="20"/>
                <w:szCs w:val="20"/>
                <w:color w:val="auto"/>
              </w:rPr>
            </w:pPr>
            <w:r>
              <w:rPr>
                <w:rFonts w:ascii="Times New Roman" w:cs="Times New Roman" w:eastAsia="Times New Roman" w:hAnsi="Times New Roman"/>
                <w:sz w:val="18"/>
                <w:szCs w:val="18"/>
                <w:b w:val="1"/>
                <w:bCs w:val="1"/>
                <w:color w:val="auto"/>
                <w:w w:val="98"/>
              </w:rPr>
              <w:t>(6,306)</w:t>
            </w:r>
          </w:p>
        </w:tc>
        <w:tc>
          <w:tcPr>
            <w:tcW w:w="80" w:type="dxa"/>
            <w:vAlign w:val="bottom"/>
          </w:tcPr>
          <w:p>
            <w:pPr>
              <w:spacing w:after="0"/>
              <w:rPr>
                <w:sz w:val="15"/>
                <w:szCs w:val="15"/>
                <w:color w:val="auto"/>
              </w:rPr>
            </w:pPr>
          </w:p>
        </w:tc>
        <w:tc>
          <w:tcPr>
            <w:tcW w:w="420" w:type="dxa"/>
            <w:vAlign w:val="bottom"/>
            <w:gridSpan w:val="2"/>
          </w:tcPr>
          <w:p>
            <w:pPr>
              <w:jc w:val="right"/>
              <w:ind w:right="4"/>
              <w:spacing w:after="0" w:line="182" w:lineRule="exact"/>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tcPr>
          <w:p>
            <w:pPr>
              <w:spacing w:after="0"/>
              <w:rPr>
                <w:sz w:val="15"/>
                <w:szCs w:val="15"/>
                <w:color w:val="auto"/>
              </w:rPr>
            </w:pPr>
          </w:p>
        </w:tc>
        <w:tc>
          <w:tcPr>
            <w:tcW w:w="5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(6,050)</w:t>
            </w:r>
          </w:p>
        </w:tc>
        <w:tc>
          <w:tcPr>
            <w:tcW w:w="80" w:type="dxa"/>
            <w:vAlign w:val="bottom"/>
          </w:tcPr>
          <w:p>
            <w:pPr>
              <w:spacing w:after="0"/>
              <w:rPr>
                <w:sz w:val="15"/>
                <w:szCs w:val="15"/>
                <w:color w:val="auto"/>
              </w:rPr>
            </w:pPr>
          </w:p>
        </w:tc>
        <w:tc>
          <w:tcPr>
            <w:tcW w:w="1620" w:type="dxa"/>
            <w:vAlign w:val="bottom"/>
            <w:gridSpan w:val="10"/>
          </w:tcPr>
          <w:p>
            <w:pPr>
              <w:jc w:val="right"/>
              <w:ind w:right="55"/>
              <w:spacing w:after="0" w:line="182" w:lineRule="exact"/>
              <w:rPr>
                <w:sz w:val="20"/>
                <w:szCs w:val="20"/>
                <w:color w:val="auto"/>
              </w:rPr>
            </w:pPr>
            <w:r>
              <w:rPr>
                <w:rFonts w:ascii="Times New Roman" w:cs="Times New Roman" w:eastAsia="Times New Roman" w:hAnsi="Times New Roman"/>
                <w:sz w:val="18"/>
                <w:szCs w:val="18"/>
                <w:b w:val="1"/>
                <w:bCs w:val="1"/>
                <w:color w:val="auto"/>
              </w:rPr>
              <w:t>(8.2) (13,258) (15.9)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520" w:type="dxa"/>
            <w:vAlign w:val="bottom"/>
            <w:shd w:val="clear" w:color="auto" w:fill="CCEEFF"/>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Pr>
          <w:p>
            <w:pPr>
              <w:spacing w:after="0"/>
              <w:rPr>
                <w:sz w:val="4"/>
                <w:szCs w:val="4"/>
                <w:color w:val="auto"/>
              </w:rPr>
            </w:pPr>
          </w:p>
        </w:tc>
        <w:tc>
          <w:tcPr>
            <w:tcW w:w="18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b w:val="1"/>
                <w:bCs w:val="1"/>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NIP Group Inc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(6,216​​​)</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(5,960​​​)</w:t>
            </w:r>
            <w:r>
              <w:rPr>
                <w:rFonts w:ascii="Times New Roman" w:cs="Times New Roman" w:eastAsia="Times New Roman" w:hAnsi="Times New Roman"/>
                <w:sz w:val="18"/>
                <w:szCs w:val="18"/>
                <w:b w:val="1"/>
                <w:bCs w:val="1"/>
                <w:color w:val="auto"/>
              </w:rPr>
              <w:t>​</w:t>
            </w:r>
          </w:p>
        </w:tc>
        <w:tc>
          <w:tcPr>
            <w:tcW w:w="16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(13,258​​​)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374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(25,297​​​)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(25,297​​​)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(43,915​​​)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NIP Group Inc.’s shareholders</w:t>
            </w:r>
          </w:p>
        </w:tc>
        <w:tc>
          <w:tcPr>
            <w:tcW w:w="374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(31,513​​​)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(31,257​​​)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(57,173​​​)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income attributable to non-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controlling interest, net of nil tax</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b w:val="1"/>
                <w:bCs w:val="1"/>
                <w:color w:val="auto"/>
              </w:rPr>
              <w:t>​</w:t>
            </w:r>
          </w:p>
        </w:tc>
        <w:tc>
          <w:tcPr>
            <w:tcW w:w="5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loss attributable to ordinary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net of nil tax</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5,253​​​</w:t>
            </w:r>
            <w:r>
              <w:rPr>
                <w:rFonts w:ascii="Times New Roman" w:cs="Times New Roman" w:eastAsia="Times New Roman" w:hAnsi="Times New Roman"/>
                <w:sz w:val="18"/>
                <w:szCs w:val="18"/>
                <w:b w:val="1"/>
                <w:bCs w:val="1"/>
                <w:color w:val="auto"/>
              </w:rPr>
              <w:t>​</w:t>
            </w:r>
          </w:p>
        </w:tc>
        <w:tc>
          <w:tcPr>
            <w:tcW w:w="5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(6,126) ​</w:t>
            </w:r>
          </w:p>
        </w:tc>
        <w:tc>
          <w:tcPr>
            <w:tcW w:w="50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(9.3) ​</w:t>
            </w: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(6,290) ​</w:t>
            </w:r>
          </w:p>
        </w:tc>
        <w:tc>
          <w:tcPr>
            <w:tcW w:w="4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(8.5) ​</w:t>
            </w:r>
          </w:p>
        </w:tc>
        <w:tc>
          <w:tcPr>
            <w:tcW w:w="68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(8,005) ​</w:t>
            </w:r>
          </w:p>
        </w:tc>
        <w:tc>
          <w:tcPr>
            <w:tcW w:w="460" w:type="dxa"/>
            <w:vAlign w:val="bottom"/>
            <w:gridSpan w:val="3"/>
          </w:tcPr>
          <w:p>
            <w:pPr>
              <w:jc w:val="right"/>
              <w:ind w:right="55"/>
              <w:spacing w:after="0" w:line="196" w:lineRule="exact"/>
              <w:rPr>
                <w:sz w:val="20"/>
                <w:szCs w:val="20"/>
                <w:color w:val="auto"/>
              </w:rPr>
            </w:pPr>
            <w:r>
              <w:rPr>
                <w:rFonts w:ascii="Times New Roman" w:cs="Times New Roman" w:eastAsia="Times New Roman" w:hAnsi="Times New Roman"/>
                <w:sz w:val="18"/>
                <w:szCs w:val="18"/>
                <w:b w:val="1"/>
                <w:bCs w:val="1"/>
                <w:color w:val="auto"/>
              </w:rPr>
              <w:t>(9.6)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240" w:type="dxa"/>
            <w:vAlign w:val="bottom"/>
            <w:gridSpan w:val="2"/>
          </w:tcPr>
          <w:p>
            <w:pPr>
              <w:jc w:val="right"/>
              <w:spacing w:after="0" w:line="21" w:lineRule="exact"/>
              <w:rPr>
                <w:sz w:val="20"/>
                <w:szCs w:val="20"/>
                <w:color w:val="auto"/>
              </w:rPr>
            </w:pPr>
            <w:r>
              <w:rPr>
                <w:rFonts w:ascii="Times New Roman" w:cs="Times New Roman" w:eastAsia="Times New Roman" w:hAnsi="Times New Roman"/>
                <w:sz w:val="2"/>
                <w:szCs w:val="2"/>
                <w:color w:val="auto"/>
              </w:rPr>
              <w:t>​ ​​</w:t>
            </w:r>
          </w:p>
        </w:tc>
        <w:tc>
          <w:tcPr>
            <w:tcW w:w="480" w:type="dxa"/>
            <w:vAlign w:val="bottom"/>
          </w:tcPr>
          <w:p>
            <w:pPr>
              <w:spacing w:after="0"/>
              <w:rPr>
                <w:sz w:val="3"/>
                <w:szCs w:val="3"/>
                <w:color w:val="auto"/>
              </w:rPr>
            </w:pPr>
          </w:p>
        </w:tc>
        <w:tc>
          <w:tcPr>
            <w:tcW w:w="180" w:type="dxa"/>
            <w:vAlign w:val="bottom"/>
            <w:gridSpan w:val="2"/>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320" w:type="dxa"/>
            <w:vAlign w:val="bottom"/>
          </w:tcPr>
          <w:p>
            <w:pPr>
              <w:spacing w:after="0"/>
              <w:rPr>
                <w:sz w:val="3"/>
                <w:szCs w:val="3"/>
                <w:color w:val="auto"/>
              </w:rPr>
            </w:pPr>
          </w:p>
        </w:tc>
        <w:tc>
          <w:tcPr>
            <w:tcW w:w="180" w:type="dxa"/>
            <w:vAlign w:val="bottom"/>
            <w:gridSpan w:val="2"/>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480" w:type="dxa"/>
            <w:vAlign w:val="bottom"/>
          </w:tcPr>
          <w:p>
            <w:pPr>
              <w:spacing w:after="0"/>
              <w:rPr>
                <w:sz w:val="3"/>
                <w:szCs w:val="3"/>
                <w:color w:val="auto"/>
              </w:rPr>
            </w:pPr>
          </w:p>
        </w:tc>
        <w:tc>
          <w:tcPr>
            <w:tcW w:w="180" w:type="dxa"/>
            <w:vAlign w:val="bottom"/>
            <w:gridSpan w:val="2"/>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500" w:type="dxa"/>
            <w:vAlign w:val="bottom"/>
          </w:tcPr>
          <w:p>
            <w:pPr>
              <w:spacing w:after="0"/>
              <w:rPr>
                <w:sz w:val="3"/>
                <w:szCs w:val="3"/>
                <w:color w:val="auto"/>
              </w:rPr>
            </w:pPr>
          </w:p>
        </w:tc>
        <w:tc>
          <w:tcPr>
            <w:tcW w:w="180" w:type="dxa"/>
            <w:vAlign w:val="bottom"/>
            <w:gridSpan w:val="2"/>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123" w:lineRule="exact"/>
        <w:rPr>
          <w:sz w:val="20"/>
          <w:szCs w:val="20"/>
          <w:color w:val="auto"/>
        </w:rPr>
      </w:pPr>
    </w:p>
    <w:p>
      <w:pPr>
        <w:ind w:left="1640" w:right="559" w:hanging="362"/>
        <w:spacing w:after="0" w:line="302" w:lineRule="auto"/>
        <w:tabs>
          <w:tab w:leader="none" w:pos="1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40" w:lineRule="exact"/>
        <w:rPr>
          <w:rFonts w:ascii="Times New Roman" w:cs="Times New Roman" w:eastAsia="Times New Roman" w:hAnsi="Times New Roman"/>
          <w:sz w:val="14"/>
          <w:szCs w:val="14"/>
          <w:color w:val="auto"/>
        </w:rPr>
      </w:pPr>
    </w:p>
    <w:p>
      <w:pPr>
        <w:ind w:left="1640" w:right="719" w:hanging="362"/>
        <w:spacing w:after="0" w:line="281" w:lineRule="auto"/>
        <w:tabs>
          <w:tab w:leader="none" w:pos="1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02" w:lineRule="exact"/>
        <w:rPr>
          <w:sz w:val="20"/>
          <w:szCs w:val="20"/>
          <w:color w:val="auto"/>
        </w:rPr>
      </w:pPr>
    </w:p>
    <w:p>
      <w:pPr>
        <w:jc w:val="both"/>
        <w:ind w:left="1280" w:right="459" w:firstLine="360"/>
        <w:spacing w:after="0" w:line="281" w:lineRule="auto"/>
        <w:rPr>
          <w:sz w:val="20"/>
          <w:szCs w:val="20"/>
          <w:color w:val="auto"/>
        </w:rPr>
      </w:pPr>
      <w:r>
        <w:rPr>
          <w:rFonts w:ascii="Times New Roman" w:cs="Times New Roman" w:eastAsia="Times New Roman" w:hAnsi="Times New Roman"/>
          <w:sz w:val="18"/>
          <w:szCs w:val="18"/>
          <w:color w:val="auto"/>
        </w:rPr>
        <w:t>The consolidated statements of results of operations and comprehensive loss data for 2022 are adjusted on an unaudited pro forma basis to present the combined historical results of operations of us and Ninjas in Pyjamas as if the combination had occurred as of January 1, 2022.</w:t>
      </w:r>
    </w:p>
    <w:p>
      <w:pPr>
        <w:spacing w:after="0" w:line="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50" w:lineRule="exact"/>
        <w:rPr>
          <w:sz w:val="20"/>
          <w:szCs w:val="20"/>
          <w:color w:val="auto"/>
        </w:rPr>
      </w:pPr>
    </w:p>
    <w:p>
      <w:pPr>
        <w:ind w:left="1280" w:right="1300"/>
        <w:spacing w:after="0" w:line="305" w:lineRule="auto"/>
        <w:rPr>
          <w:sz w:val="20"/>
          <w:szCs w:val="20"/>
          <w:color w:val="auto"/>
        </w:rPr>
      </w:pPr>
      <w:r>
        <w:rPr>
          <w:rFonts w:ascii="Times New Roman" w:cs="Times New Roman" w:eastAsia="Times New Roman" w:hAnsi="Times New Roman"/>
          <w:sz w:val="18"/>
          <w:szCs w:val="18"/>
          <w:color w:val="auto"/>
        </w:rPr>
        <w:t>Receivables related to disposal of league tournaments rights Amounts due from related parties</w:t>
      </w:r>
    </w:p>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mezzanine equity</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deficit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9,588​​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14,448​​ ​​ 18,995​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4,957​​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33,183​​ ​​ 29,355​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65,383​​ ​​133,969​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1,802​​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29,827​​ ​​141,402​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​​133,936​​ ​​313,840​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28,515​​ ​​ 28,779​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44,479​​ ​​ 61,100​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​​113,463​​ ​​322,543​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(24,006)</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(69,803)</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20" w:space="720"/>
            <w:col w:w="2039"/>
          </w:cols>
          <w:pgMar w:left="580" w:top="97" w:right="1440" w:bottom="1440" w:gutter="0" w:footer="0" w:header="0"/>
          <w:type w:val="continuous"/>
        </w:sectPr>
      </w:pPr>
    </w:p>
    <w:p>
      <w:pPr>
        <w:ind w:left="1280" w:right="859" w:firstLine="360"/>
        <w:spacing w:after="0" w:line="249"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years indicated:</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378"/>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 xml:space="preserve">For the Year Ended December 31, </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(9,634)</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(1,719)</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9,784</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(252)</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(1,821)</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11,409</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9,588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9,588</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62"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U.S. GAAP, we use the following non-GAAP financial measure to understand and evaluate our core operating performance: adjusted EBITDA, which is calculated as net loss excluding interest expense, net, income tax (benefit) expenses, depreciation and amortization and share-based compensation expense. The non-GAAP financial measure is presented to enhance investors’ overall understanding of our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the non-GAAP financial measure has material limitations as an analytical metric and may not be calculated in the same manner by all companies, it may not be comparable to other similarly titled measure used by other companies. In light of the foregoing limitations, you should not consider the non-GAAP financial measure as a substitute for, or superior to, such metrics prepared in accordance with GAAP. We encourage investors and others to review our financial information in its entirety and not rely on any single financial measure.</w:t>
      </w:r>
    </w:p>
    <w:p>
      <w:pPr>
        <w:spacing w:after="0" w:line="127"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2"/>
              </w:rPr>
              <w:t>2023</w:t>
            </w:r>
            <w:r>
              <w:rPr>
                <w:rFonts w:ascii="Times New Roman" w:cs="Times New Roman" w:eastAsia="Times New Roman" w:hAnsi="Times New Roman"/>
                <w:sz w:val="17"/>
                <w:szCs w:val="17"/>
                <w:b w:val="1"/>
                <w:bCs w:val="1"/>
                <w:color w:val="auto"/>
                <w:w w:val="92"/>
                <w:vertAlign w:val="superscript"/>
              </w:rPr>
              <w:t>(4)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(Unaudited)</w:t>
            </w:r>
            <w:r>
              <w:rPr>
                <w:rFonts w:ascii="Times New Roman" w:cs="Times New Roman" w:eastAsia="Times New Roman" w:hAnsi="Times New Roman"/>
                <w:sz w:val="15"/>
                <w:szCs w:val="15"/>
                <w:b w:val="1"/>
                <w:bCs w:val="1"/>
                <w:color w:val="auto"/>
                <w:vertAlign w:val="superscript"/>
              </w:rPr>
              <w:t>(3)</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7"/>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 in thousands, except for %)</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vMerge w:val="restart"/>
            <w:shd w:val="clear" w:color="auto" w:fill="CCEEFF"/>
          </w:tcPr>
          <w:p>
            <w:pPr>
              <w:ind w:left="15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ind w:right="128"/>
              <w:spacing w:after="0" w:line="202" w:lineRule="exact"/>
              <w:rPr>
                <w:sz w:val="20"/>
                <w:szCs w:val="20"/>
                <w:color w:val="auto"/>
              </w:rPr>
            </w:pPr>
            <w:r>
              <w:rPr>
                <w:rFonts w:ascii="Times New Roman" w:cs="Times New Roman" w:eastAsia="Times New Roman" w:hAnsi="Times New Roman"/>
                <w:sz w:val="18"/>
                <w:szCs w:val="18"/>
                <w:b w:val="1"/>
                <w:bCs w:val="1"/>
                <w:color w:val="auto"/>
              </w:rPr>
              <w:t>(6,306)</w:t>
            </w:r>
          </w:p>
        </w:tc>
        <w:tc>
          <w:tcPr>
            <w:tcW w:w="800" w:type="dxa"/>
            <w:vAlign w:val="bottom"/>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(6,050)</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(13,258</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4140" w:type="dxa"/>
            <w:vAlign w:val="bottom"/>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shd w:val="clear" w:color="auto" w:fill="CCEEFF"/>
          </w:tcPr>
          <w:p>
            <w:pPr>
              <w:spacing w:after="0"/>
              <w:rPr>
                <w:sz w:val="4"/>
                <w:szCs w:val="4"/>
                <w:color w:val="auto"/>
              </w:rPr>
            </w:pPr>
          </w:p>
        </w:tc>
        <w:tc>
          <w:tcPr>
            <w:tcW w:w="300" w:type="dxa"/>
            <w:vAlign w:val="bottom"/>
            <w:gridSpan w:val="3"/>
            <w:shd w:val="clear" w:color="auto" w:fill="CCEEFF"/>
          </w:tcPr>
          <w:p>
            <w:pPr>
              <w:jc w:val="center"/>
              <w:ind w:right="2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182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2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(benefit) expenses</w:t>
            </w:r>
          </w:p>
        </w:tc>
        <w:tc>
          <w:tcPr>
            <w:tcW w:w="166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rPr>
              <w:t>(139)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8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5,266​​ ​</w:t>
            </w: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5,694</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660" w:type="dxa"/>
            <w:vAlign w:val="bottom"/>
            <w:vMerge w:val="restart"/>
            <w:shd w:val="clear" w:color="auto" w:fill="CCEEFF"/>
          </w:tcPr>
          <w:p>
            <w:pPr>
              <w:ind w:left="15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128"/>
              <w:spacing w:after="0" w:line="202" w:lineRule="exact"/>
              <w:rPr>
                <w:sz w:val="20"/>
                <w:szCs w:val="20"/>
                <w:color w:val="auto"/>
              </w:rPr>
            </w:pPr>
            <w:r>
              <w:rPr>
                <w:rFonts w:ascii="Times New Roman" w:cs="Times New Roman" w:eastAsia="Times New Roman" w:hAnsi="Times New Roman"/>
                <w:sz w:val="18"/>
                <w:szCs w:val="18"/>
                <w:b w:val="1"/>
                <w:bCs w:val="1"/>
                <w:color w:val="auto"/>
              </w:rPr>
              <w:t>(648)</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276</w:t>
            </w:r>
          </w:p>
        </w:tc>
        <w:tc>
          <w:tcPr>
            <w:tcW w:w="300" w:type="dxa"/>
            <w:vAlign w:val="bottom"/>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(1,731</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4140" w:type="dxa"/>
            <w:vAlign w:val="bottom"/>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6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80" w:type="dxa"/>
            <w:vAlign w:val="bottom"/>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00" w:type="dxa"/>
            <w:vAlign w:val="bottom"/>
            <w:gridSpan w:val="3"/>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30"/>
        </w:trPr>
        <w:tc>
          <w:tcPr>
            <w:tcW w:w="4140" w:type="dxa"/>
            <w:vAlign w:val="bottom"/>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(2)</w:t>
            </w:r>
          </w:p>
        </w:tc>
        <w:tc>
          <w:tcPr>
            <w:tcW w:w="166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0.4</w:t>
            </w:r>
          </w:p>
        </w:tc>
        <w:tc>
          <w:tcPr>
            <w:tcW w:w="3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40" w:hanging="362"/>
        <w:spacing w:after="0"/>
        <w:tabs>
          <w:tab w:leader="none" w:pos="1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depreciation related to property and equipment, as well as amortization related to intangible assets.</w:t>
      </w:r>
    </w:p>
    <w:p>
      <w:pPr>
        <w:spacing w:after="0" w:line="95"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as a percentage of net revenues.</w:t>
      </w:r>
    </w:p>
    <w:p>
      <w:pPr>
        <w:spacing w:after="0" w:line="95" w:lineRule="exact"/>
        <w:rPr>
          <w:rFonts w:ascii="Times New Roman" w:cs="Times New Roman" w:eastAsia="Times New Roman" w:hAnsi="Times New Roman"/>
          <w:sz w:val="14"/>
          <w:szCs w:val="14"/>
          <w:color w:val="auto"/>
        </w:rPr>
      </w:pPr>
    </w:p>
    <w:p>
      <w:pPr>
        <w:ind w:left="1640" w:right="559" w:hanging="362"/>
        <w:spacing w:after="0" w:line="302" w:lineRule="auto"/>
        <w:tabs>
          <w:tab w:leader="none" w:pos="1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26" w:lineRule="exact"/>
        <w:rPr>
          <w:rFonts w:ascii="Times New Roman" w:cs="Times New Roman" w:eastAsia="Times New Roman" w:hAnsi="Times New Roman"/>
          <w:sz w:val="14"/>
          <w:szCs w:val="14"/>
          <w:color w:val="auto"/>
        </w:rPr>
      </w:pPr>
    </w:p>
    <w:p>
      <w:pPr>
        <w:ind w:left="1640" w:right="719" w:hanging="362"/>
        <w:spacing w:after="0" w:line="271" w:lineRule="auto"/>
        <w:tabs>
          <w:tab w:leader="none" w:pos="1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market perception and strength of our brand. If we are unable to maintain and enhance our brand, the fan base and sponsorship we attract as well as our prospective consumer engagement may decline.</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believe that our brand, identity and reputation contribute significantly to our success. Maintaining and enhancing the NIP brand and reputation is critical to retaining and growing our consumer and sponsor bases. Maintaining and enhancing our brand and reputation hinges largely on our continued ability to provide high-quality and entertaining content, as well as competitive esports competition results, which may require substantial investment by us and may not be successful. Further, sponsorships and advertisements and actions of sponsors and brand owners may affect our brand and reputation if our consumers respond negatively to them. Additionally, our brand, identity and reputation may be adversely affected by perceptions of our industry in general, including perceptions resulting from factors unrelated to our actions or our content.</w:t>
      </w:r>
    </w:p>
    <w:p>
      <w:pPr>
        <w:spacing w:after="0" w:line="32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To be successful in the future, we believe we must preserve, grow and leverage the value of our brand across all of our revenue streams. We have in the past experienced, and expect that in the future we will continue to receive, a high degree of media coverage. Any unfavorable publicity regarding the actions or professional performance of any of our esports teams, athletes, content creators, online entertainers or brand partners, or regarding our ability to attract and retain qualified professional athletes and coaching staff, could negatively affect our brand and reputation. Failure to respond effectively to negative publicity could also further erode our brand and reputation.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events in our industry, even if unrelated to us, may negatively affect our brand and reputation. As a result, the size and engagement of our fan base may decline. Damage to our brand or reputation or loss of our fans’ commitment for any of these reasons could impair our ability to expand our fan base, sponsors and commercial affiliates, which could result in decreased revenue across our revenue streams and have a material adverse effect on our business, results of operations and financial condition, as well as require additional resources to rebuild our brand and reputation.</w:t>
      </w:r>
    </w:p>
    <w:p>
      <w:pPr>
        <w:spacing w:after="0" w:line="120"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Moreover, maintaining and enhancing our brand and reputation may require us to make substantial investments, some or all of which may be unsuccessful. Failure to successfully maintain and enhance the NIP brand and reputation or excessive or unsuccessful expenses in connection with this effort could have a material adverse effect on our business, results of operations and financial condition.</w:t>
      </w:r>
    </w:p>
    <w:p>
      <w:pPr>
        <w:spacing w:after="0" w:line="17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esports brand spanning Asia, Europe and South America and continuing to expand our global footprint, we are subject to a number of risks regarding our international operations.</w:t>
      </w:r>
    </w:p>
    <w:p>
      <w:pPr>
        <w:spacing w:after="0" w:line="7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currently operate esports teams in Asia and Europe with world-class rankings and performances. We also field teams in Brazil and will be expanding teams to the MENA region in 2024. We plan to continue to expand our operations into different countries or regions to enhance our global presence. Our international operations and expansion efforts have resulted, and may continue to result, in increased costs, and are subject to a variety of risks, including but not limited to:</w:t>
      </w:r>
    </w:p>
    <w:p>
      <w:pPr>
        <w:spacing w:after="0" w:line="75" w:lineRule="exact"/>
        <w:rPr>
          <w:sz w:val="20"/>
          <w:szCs w:val="20"/>
          <w:color w:val="auto"/>
        </w:rPr>
      </w:pPr>
    </w:p>
    <w:p>
      <w:pPr>
        <w:ind w:left="1800" w:right="4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or unfavorable governmental laws, regulations, policies toward esports gaming, live events and content streaming, or generally toward the entertainment industry;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economical uncertainties, unfavorable treatment within certain of the emerging markets, exchange risks and inflations;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anti-bribery and anti-corruption laws, such as the United States Foreign Corrupt Practices Act and the United Kingdom Bribery Act of 2010;</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of our enforcement of intellectual property rights as well limitations on our ability to enforce legal rights and remedies with third parties or partners;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due to the complexity of local tax laws or the interpretation of international tax treaties, or incremental tax liabilities that are difficult to predict as a result from our acquisition of businesses;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the ability of foreign subsidiaries to repatriate profits or otherwise remit earnings; and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investment in foreign countries and unfair and unequitable treatment of the host countries, such as favoring domestic companies or arbitrary termination of cooperation contract with governmental authorities.</w:t>
      </w:r>
    </w:p>
    <w:p>
      <w:pPr>
        <w:spacing w:after="0" w:line="81"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As we expand into new markets, it is difficult for us to manage and coordinate across the subsidiaries of our company, and certain business practices and customer may vary from markets to markets. We may have to adapt our business models to local markets due to various legal requirements and market conditions. Moreover, future growth and expansion to new markets, as well as growth and expansion within existing markets, may expose our group and executive management, administration, IT systems, internal control functions and operational and financial infrastructure to several challenges. Future growth and expansion will likely lead to an increased pressure on these functions within our group, which could adversely affect our ability to effectively operate and expand our business. Our failure to successfully maintain and grow our business on a global scale could be intensified with the speed of our expansion, and impose more strain on our business, results of operations, and financial conditions.</w:t>
      </w:r>
    </w:p>
    <w:p>
      <w:pPr>
        <w:spacing w:after="0" w:line="201" w:lineRule="exact"/>
        <w:rPr>
          <w:sz w:val="20"/>
          <w:szCs w:val="20"/>
          <w:color w:val="auto"/>
        </w:rPr>
      </w:pPr>
    </w:p>
    <w:p>
      <w:pPr>
        <w:ind w:left="1260" w:right="7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in Asia is in the early stage of development with a relatively limited operating history. We are also subject to risks associated with operating in a rapidly developing industry and a relatively new market.</w:t>
      </w:r>
    </w:p>
    <w:p>
      <w:pPr>
        <w:spacing w:after="0" w:line="6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have a relatively limited operating history with our business in Asia. While our western brand was established in 2000, we only started our business in Asia in 2016. Our limited history of operating in Asia may not serve as an adequate basis for evaluating our prospects and operating results, and our past revenues and historical growth may not be indicative of our future performance. In addition, we plan to continue to grow our Asia business through strategies rooted in both organic growth opportunities and acquisition of qualified targets. The expansion increases the complexity of our business and has placed, and will continue to place, strain on our management, personnel, operations, systems, financial resources and internal control and report functions.</w:t>
      </w:r>
    </w:p>
    <w:p>
      <w:pPr>
        <w:spacing w:after="0" w:line="3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many elements of our business are unique, evolving and relatively unproven. Our business and prospects depend on the continuing development of competitive esports, gaming and lifestyle content. The market for competitive esports, gaming and lifestyle content is relatively new and rapidly developing and is subject to significant challenges. Our business relies upon our ability to cultivate and grow an active community, and our ability to successfully monetize such community through sponsorship, retail and advertising opportunities. In addition, our continued growth depends, in part, on our ability to respond to the constant changes in our industry, including rapid technological evolution, continued shifts in gamer trends and demands, the introduction of new competitors into the market, and the emergence of new industry standards and practices. Developing and integrating new content, services and products could be expensive and time-consuming, and these efforts may not yield the benefits we expect to achieve at all. Further, if the esports sponsorship and advertising market does not continue to grow, or if we are unable to capture and retain a sufficient share of that market, our results may be materially and adversely affected. We cannot assure you that we will succeed in any of these aspects or that our industry will continue to grow as rapidly as it has in the past.</w:t>
      </w:r>
    </w:p>
    <w:p>
      <w:pPr>
        <w:spacing w:after="0" w:line="388"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limited history of operating as an integrated business. We may face challenges integrating our operations, services and personnel and may be unable to achieve the anticipated synergies from the combination. Our historical operating and financial results may not be indicative of future performance, which makes it difficult to predict our future business prospects and financial performance.</w:t>
      </w:r>
    </w:p>
    <w:p>
      <w:pPr>
        <w:spacing w:after="0" w:line="107"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combination of our eStar Gaming and Victory 5 operations was completed in early 2021. More recently, the combination with Ninjas in Pyjamas was completed in early 2023. As a result, we have a limited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operating history and experience in our business operation as a combined company, which makes it difficult to evaluate our future prospects and ability to make profit. Our ability to realize the anticipated benefits of the combination depends, to a large extent, on our ability to integrate independent businesses, which can be a complex, costly and time-consuming process, and thus requires significant time and focus from our management team and may divert their attention from the day-to-day operations of our business. In addition, even if the operations of us and Ninjas in Pyjamas are integrated successfully, we may not realize the full benefits of the combination, including the synergies, operating efficiencies, or sales or growth opportunities as expected.</w:t>
      </w:r>
    </w:p>
    <w:p>
      <w:pPr>
        <w:spacing w:after="0" w:line="324"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In addition, the overall integration of the businesses may result in material unanticipated problems, expenses, liabilities, competitive responses and loss of customer relationships, among other potential adverse consequences. If we cannot integrate and operate acquired properties or businesses to meet our financial expectations, our financial condition, results of operations and cash flow could be materially adversely affected.</w:t>
      </w:r>
    </w:p>
    <w:p>
      <w:pPr>
        <w:spacing w:after="0" w:line="179"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investments in and acquisitions of complementary assets and businesses may expose us to potential risks, and may result in earnings dilution and significant diversion of management attention.</w:t>
      </w:r>
    </w:p>
    <w:p>
      <w:pPr>
        <w:spacing w:after="0" w:line="7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may invest in or acquire assets and businesses that are complementary to our existing business. This may include opportunities to acquire additional businesses, services, resources, or assets that are complementary to our core esports business. Our investments or acquisitions may not yield the results we expect. In addition, investments and acquisitions could result in the use of substantial amounts of cash, significant amortization expenses related to intangible assets, significant diversion of management attention and exposure to potential unknown liabilities of the acquired business. Moreover, the costs of identifying and consummating investments and acquisitions, and integrating the acquired businesses into ours, may be significant, and the integration of acquired businesses may be difficult or even disruptive to our existing business operations. In the event that our investments and acquisitions are not successful, our results of operations and financial condition may be materially and adversely affected.</w:t>
      </w:r>
    </w:p>
    <w:p>
      <w:pPr>
        <w:spacing w:after="0" w:line="127"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To the extent we pursue further strategic acquisitions or other investment opportunities to extend or complement our operations, we may be exposed to additional risks, including:</w:t>
      </w:r>
    </w:p>
    <w:p>
      <w:pPr>
        <w:spacing w:after="0" w:line="54" w:lineRule="exact"/>
        <w:rPr>
          <w:sz w:val="20"/>
          <w:szCs w:val="20"/>
          <w:color w:val="auto"/>
        </w:rPr>
      </w:pPr>
    </w:p>
    <w:p>
      <w:pPr>
        <w:ind w:left="1800" w:right="5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require us to incur charges or assume substantial debt or other liabilities, may cause adverse tax consequences or unfavorable accounting treatments, may expose us to claims and disputes by third parties, including intellectual property claims and disputes, or may not generate sufficient financial return to offset additional costs and expenses related to the acquisition;</w:t>
      </w:r>
    </w:p>
    <w:p>
      <w:pPr>
        <w:spacing w:after="0" w:line="71"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ahead of an acquisition, lenders may require that such loans are repaid either in full or in part or that financial covenants are complied with before any distributions of dividends to our shareholders may be made;</w:t>
      </w:r>
    </w:p>
    <w:p>
      <w:pPr>
        <w:spacing w:after="0" w:line="67"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whether or not consummated,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integrate our business and we may not be able to fully realize the anticipated strategic benefits of the acquisition;</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inherent to effectively managing an increased number of employees in diverse locations;</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potential strains on our financial and managerial controls and reporting systems and procedures;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potential known and unknown liabilities associated with an acquired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to pay for acquisitions could limit other potential uses for our cash;</w:t>
      </w:r>
    </w:p>
    <w:p>
      <w:pPr>
        <w:spacing w:after="0" w:line="10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record impairment losses related to potential write-downs of acquired assets or goodwill in future acquisitions; and</w:t>
      </w:r>
    </w:p>
    <w:p>
      <w:pPr>
        <w:spacing w:after="0" w:line="2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relating to future acquisitions, existing stockholders may be diluted.</w:t>
      </w:r>
    </w:p>
    <w:p>
      <w:pPr>
        <w:spacing w:after="0" w:line="9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relating to the integration of any acquired business. The inability to integrate successfully the business, technologies, products, personnel or operations of any acquired business, or any significant delay in achieving integration, could have a material adverse effect on our business, results of operations, financial condition or prospects.</w:t>
      </w:r>
    </w:p>
    <w:p>
      <w:pPr>
        <w:spacing w:after="0" w:line="173"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highly competitive. If we are unable to compete effectively, our business and operating results may be materially and adversely affected.</w:t>
      </w:r>
    </w:p>
    <w:p>
      <w:pPr>
        <w:spacing w:after="0" w:line="90"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While there are a limited number of competitors that cover the entire value chain of the esports ecosystem as we currently do, including the operation of esports teams, talent management agency and event production, each component of the esports industry is highly competitive.</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naturally face competitions from other esports teams. If our teams fail to achieve satisfactory results and maintain their positions in the periods to come, we may lose fans, viewership, and our brand and sponsorship resources, as well as star athletes and staff to our competitors, and our business and results of operations may be materially and adversely affected.</w:t>
      </w:r>
    </w:p>
    <w:p>
      <w:pPr>
        <w:spacing w:after="0" w:line="11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For our talent management business, we face competition both in engaging popular online entertainers and collaborating with distribution channels to host our online entertainers. If we are unable to do so, our ability to grow our talent management business will be limited. In addition, magnifying our influence in the industry may require us to make substantial investments or acquisitions, some or all of which may not be successful. Moreover, the popularity of our online entertainers can change rapidly and for reasons beyond our direct control.</w:t>
      </w:r>
    </w:p>
    <w:p>
      <w:pPr>
        <w:spacing w:after="0" w:line="325"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 the case of event production business, we face direct competition from other event producers and service providers. We are a relatively new enterer in the market as compared to our competitors who are more experienced in the organization of professional esports tournaments and events. Our competitors may leverage longer history with game developers, publishers and other event sponsors, and may have more established presences in regions and games titles beyond our reach. In the event that we are not able to effectively compete and overtake businesses from other competitors, we may not be able to establish a significant presence in the event production industry.</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also face potential competition from our business partners who may expand their internal capabilities or otherwise integrate themselves vertically to operate services that we currently offer, which could result in a reduction in opportunities available to us or otherwise lead to potential new competitors.</w:t>
      </w:r>
    </w:p>
    <w:p>
      <w:pPr>
        <w:spacing w:after="0" w:line="186"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focus our business on our Esports professionals, influencers and content creators and consumers, and acting in their interests in the long-term may conflict with the short-term expectations of investors.</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generate revenues from our talent management business from advertising fees, sponsorship fees and live streaming service fees. As such, our revenues depend significantly on our ability to make, attract and retain online entertainers with sufficient popularity to attract advertisers and sponsorships, and live streaming views. We focus on developing our roster of esports athletes to become successful online entertainers, as well as identifying and recruiting high-potential candidates from major entertainment platforms and competitive esports games. In addition, we do not rely on star individuals, but rather to aim offer comprehensive operation and marketing services to incubate our talent to become successful online entertainers, support their career development, and empower them to grow their own audience within our ecosystem. We expect to continue making significant investments to develop our ecosystem in support of our online entertainer. Such expenditures may not result in improved business results or profitability over the long-term. If we are ultimately unable to achieve or improve profitability at the level or during the time from anticipated by securities or industry analysts, investors and our stockholders, the trading price of our ADS may decline.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continue to experience losses in the future.</w:t>
      </w:r>
    </w:p>
    <w:p>
      <w:pPr>
        <w:spacing w:after="0" w:line="162"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We have incurred loss from operations of US $8.1 million and US$14.7 million, and net losses of US$6.3 million and US$13.3 million in 2022 and 2023, respectively. The historical losses reflect the substantial investments we made to grow our business. We cannot assure you that we will be able to continue generating net profits in the foreseeable future.</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expect to continue to invest in the development and expansion of our business in areas including sales and marketing, and incurring costs associated with general administration, including legal, accounting and other expenses upon completion of this offering. As a result of these increased expenses, we will have to generate and sustain increased revenue to be profitable in future periods. Further, in future periods, we may not be able to generate sufficient revenue growth to offset higher costs and sustain profitability. If we fail to sustain or increase profitability, our business and operating results could be adversely affected and we may be required to raise additional equity or debt to finance our operations, which may come with dilution effects for our shareholders.</w:t>
      </w:r>
    </w:p>
    <w:p>
      <w:pPr>
        <w:spacing w:after="0" w:line="200" w:lineRule="exact"/>
        <w:rPr>
          <w:sz w:val="20"/>
          <w:szCs w:val="20"/>
          <w:color w:val="auto"/>
        </w:rPr>
      </w:pPr>
    </w:p>
    <w:p>
      <w:pPr>
        <w:spacing w:after="0" w:line="205" w:lineRule="exact"/>
        <w:rPr>
          <w:sz w:val="20"/>
          <w:szCs w:val="20"/>
          <w:color w:val="auto"/>
        </w:rPr>
      </w:pPr>
    </w:p>
    <w:p>
      <w:pPr>
        <w:ind w:left="1260" w:right="9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may be materially and adversely affected if we are unable to maintain our cooperative relationships with financing service providers.</w:t>
      </w:r>
    </w:p>
    <w:p>
      <w:pPr>
        <w:spacing w:after="0" w:line="9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rely partially on loans provided by commercial banks including, among others, China Merchants Bank and Hua Xia Bank, to fund our general operations. We entered into credit facilities and loan agreement with these commercial banks, pursuant to which we are subject to a number of restrictive covenants. Failure to meet the payment and other obligations, including financial covenants, security coverage requirement and requirements on notifying to or getting approval from banks in case of certain matters, such as restructuring, share transfer or listing, etc., could lead to defaults under these loan agreements. If we default under the loan agreement, we may have to cash the deposit of our working capital, which could have material impact on business and results of operation.</w:t>
      </w:r>
    </w:p>
    <w:p>
      <w:pPr>
        <w:spacing w:after="0" w:line="11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These credit facilities and loan agreements normally become mature in one to three years, and we may not be able to renew the agreement on commercially reasonable terms or at all. These commercial banks have full discretion in deciding whether or not to extend the loans to us. Furthermore, these financing service providers may decrease or eliminate the amount of credit available for us due to various reasons. In addition, if the default rates on the loans provided or arranged by these financing service providers were to increase, they may raise the interest rates on the loans, making such financing options less attractive to us. If our cooperative relationships with the financing service providers are damaged or lost, or if the financing service providers significantly increase their interest rates, our business and financial results would be adversely affected.</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will need capital to, among other things, expand to other geographic regions and titles through acquiring league seats. As we expand to additional game titles, we may also require capital to train, attract and retain our athletes and online entertainers, and such costs may be greater than what we currently anticipate. The fact that we have a limited operating history means we have limited historical financial data. As a result, our future capital requirements may be uncertain and actual capital requirements may be different from what we currently anticipate. We may seek equity or debt financing to finance a portion of our capital expenditures. Such financing might not be available to us in a timely manner or on terms that are acceptable to us, or at all. If we cannot obtain sufficient capital on acceptable terms, our business, financial condition, and prospects may be materially and adversely affected.</w:t>
      </w:r>
    </w:p>
    <w:p>
      <w:pPr>
        <w:spacing w:after="0" w:line="197"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strategies, sustain our growth, or deal with the increasing complexity of our business.</w:t>
      </w:r>
    </w:p>
    <w:p>
      <w:pPr>
        <w:spacing w:after="0" w:line="9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Since our inception, we have experienced rapid growth internationally. This growth has included development in our fan base, esports performance, content pipeline, our talent, and our brand sponsorships, among other things. We have also been actively exploring new monetization opportunities. Even if our historical growth may not necessarily be indicative of future growth, we expect future growth in our international presence, mergers and acquisitions, and emerging monetization areas. This expansion increases the complexity of our business and has placed, and will continue to place, strain on our management, personnel, operations, systems, financial resources and internal financial control and reporting functions.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58" w:lineRule="auto"/>
        <w:rPr>
          <w:sz w:val="20"/>
          <w:szCs w:val="20"/>
          <w:color w:val="auto"/>
        </w:rPr>
      </w:pPr>
      <w:r>
        <w:rPr>
          <w:rFonts w:ascii="Times New Roman" w:cs="Times New Roman" w:eastAsia="Times New Roman" w:hAnsi="Times New Roman"/>
          <w:sz w:val="18"/>
          <w:szCs w:val="18"/>
          <w:color w:val="auto"/>
        </w:rPr>
        <w:t>The industries in which we operate are rapidly evolving and may not develop as we expect. Even if our revenue continues to increase, our net revenue growth rates may vary in the future as a result of macroeconomic factors, increased competition, the maturation of our business, and other factors.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as we expand our business segments and geographic coverage, we will need to work with a larger number of partners, brands and sponsors, as well as suppliers efficiently, and will need to maintain and expand mutually beneficial relationships with the existing ones. We also need to continuously enhance and upgrade our technology, improve control over our operational, financial and management aspects, refine our reporting systems and procedures, and cultivate, attract, retain and integrate qualified esports talents. All these efforts will require significant managerial and financial resources. We cannot assure you that we will be able to effectively manage our growth, that our current infrastructure, systems, procedures and controls or any new measures to enhance them will be adequate and successful to support our expanding operations or that our strategies and new business initiatives will be executed successfully. If we are not able to manage our growth or execute our strategies effectively, our expansion may not be successful, and our business and prospects may be materially and adversely affected.</w:t>
      </w:r>
    </w:p>
    <w:p>
      <w:pPr>
        <w:spacing w:after="0" w:line="198"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anticipate the evolving game popularity or viewership preferences, we may not be able to remain competitive in the respective business segments, and our business and prospects may be materially and adversely affected.</w:t>
      </w:r>
    </w:p>
    <w:p>
      <w:pPr>
        <w:spacing w:after="0" w:line="10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esports industry is characterized by its ever-changing and fast evolving nature, where every year different digital games are released by game developers, and various leagues and tournaments are assembled, creating vast opportunity for participants like us to extend our brand influence and generate popularity, and for brands and sponsors to invest in teams, athletes, and benefit from screen time and name placements. The continued popularity of the general esports industry affects the longevity and vibrance of our brand. We participate in popular esports titles including </w:t>
      </w:r>
      <w:r>
        <w:rPr>
          <w:rFonts w:ascii="Times New Roman" w:cs="Times New Roman" w:eastAsia="Times New Roman" w:hAnsi="Times New Roman"/>
          <w:sz w:val="18"/>
          <w:szCs w:val="18"/>
          <w:i w:val="1"/>
          <w:iCs w:val="1"/>
          <w:color w:val="auto"/>
        </w:rPr>
        <w:t>League of Legends, Counter-Strike: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Offensive (CS:GO), Honor of Kings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Call of Duty Mobile, FIFA, Rainbow Six, Crossfire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QQ Speed</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large viewership and prospective fan base shifts focus to different esports categories or titles, we cannot assure you that our market perceptions can continue to be upheld. Our failure to effectively cater to the constantly changing and unpredictable needs of the players and viewers could results in a failure to obtain desirable league seats and to achieve satisfactory competition results, which could have a material and adverse effect on our business and prospects.</w:t>
      </w:r>
    </w:p>
    <w:p>
      <w:pPr>
        <w:spacing w:after="0" w:line="181" w:lineRule="exact"/>
        <w:rPr>
          <w:sz w:val="20"/>
          <w:szCs w:val="20"/>
          <w:color w:val="auto"/>
        </w:rPr>
      </w:pPr>
    </w:p>
    <w:p>
      <w:pPr>
        <w:jc w:val="both"/>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Misalignment with public and consumer tastes and preferences for entertainment could negatively impact demand for our entertainment offerings, which could have an adverse effect on our business, financial condition, results of operations and prospects.</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create entertainment content, the success of which depends substantially on consumer interests and preferences that frequently change in unpredictable ways. The success of our business depends on our ability to consistently create digital content, and to have popular talent, that meets the changing preferences of the broad consumer market and respond to competition from an expanding array of entertainment choices facilitated by technological developments in the availability and delivery of digital content. When anticipating public and consumer tastes and preferences and other developments in our industry, and how to develop our businesses in relation thereto, our executive management teams have to make several assessments based on various facts and assumptions prevailing at the time such assessments are made, which could prove to be incorrect or incomplete. Misalignment of our content, talent and products and our failure in responding to rapidly changing public and consumer tastes and preferences could impact the demand for our offerings, and our business, financial condition, results of operations and prospects could be materially affected.</w:t>
      </w:r>
    </w:p>
    <w:p>
      <w:pPr>
        <w:spacing w:after="0" w:line="200" w:lineRule="exact"/>
        <w:rPr>
          <w:sz w:val="20"/>
          <w:szCs w:val="20"/>
          <w:color w:val="auto"/>
        </w:rPr>
      </w:pPr>
    </w:p>
    <w:p>
      <w:pPr>
        <w:spacing w:after="0" w:line="204"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existing and potential customers are attracted to other alternatives available within the broader esports and entertainment industry, we would be materially and adversely impacted.</w:t>
      </w:r>
    </w:p>
    <w:p>
      <w:pPr>
        <w:spacing w:after="0" w:line="78"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The specific industries in which we operate, including esports team, content creation, as well as esports-related event production, all fall within the broader entertainment industry. Other forms of entertainment, such as television, movies and sport events, as well as other forms of digital entertainment, are more well established and may be perceived by the users to offer greater variety, affordability, interactivity,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4" w:lineRule="auto"/>
        <w:rPr>
          <w:sz w:val="20"/>
          <w:szCs w:val="20"/>
          <w:color w:val="auto"/>
        </w:rPr>
      </w:pPr>
      <w:r>
        <w:rPr>
          <w:rFonts w:ascii="Times New Roman" w:cs="Times New Roman" w:eastAsia="Times New Roman" w:hAnsi="Times New Roman"/>
          <w:sz w:val="18"/>
          <w:szCs w:val="18"/>
          <w:color w:val="auto"/>
        </w:rPr>
        <w:t>enjoyment. We compete with these other forms of entertainment for the discretionary time and income of consumers, and competition within the industries we operate and the broader entertainment industry is intense. If we are unable to sustain sufficient interest in our platform in comparison to other forms of entertainment, including new forms of entertainment, we could experience reduced demand for our content, live events and overall popularity, which could have an adverse effect on our business financial condition and results of operations. While esports remains unique and possesses its distinctiveness apart from the aforementioned alternatives, we cannot assure you that the esports consumers are as engaged in other entertainment categories, or would not alter their preferences to other entertainment categories that may be perceived to offer consumers with more interactivity, affordability, and variety. If the consumers in fact choose to spend their discretionary time and money into other platforms and means of entertainment, we would lose fan base that is the source of our monetization powers, and our business, financial conditions and results of operations would be negatively affected.</w:t>
      </w:r>
    </w:p>
    <w:p>
      <w:pPr>
        <w:spacing w:after="0" w:line="180" w:lineRule="exact"/>
        <w:rPr>
          <w:sz w:val="20"/>
          <w:szCs w:val="20"/>
          <w:color w:val="auto"/>
        </w:rPr>
      </w:pPr>
    </w:p>
    <w:p>
      <w:pPr>
        <w:ind w:left="1260" w:right="519"/>
        <w:spacing w:after="0" w:line="308" w:lineRule="auto"/>
        <w:rPr>
          <w:sz w:val="20"/>
          <w:szCs w:val="20"/>
          <w:color w:val="auto"/>
        </w:rPr>
      </w:pPr>
      <w:r>
        <w:rPr>
          <w:rFonts w:ascii="Times New Roman" w:cs="Times New Roman" w:eastAsia="Times New Roman" w:hAnsi="Times New Roman"/>
          <w:sz w:val="17"/>
          <w:szCs w:val="17"/>
          <w:b w:val="1"/>
          <w:bCs w:val="1"/>
          <w:i w:val="1"/>
          <w:iCs w:val="1"/>
          <w:color w:val="auto"/>
        </w:rPr>
        <w:t>If we fail to obtain and maintain the requisite licenses, permits and approvals applicable to our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7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maintain various approvals, licenses, permits and filings to operate our business. Whether such approvals, licenses, permits and filings are obtained is subject to satisfactory compliance with, among other things, the applicable laws and regulations. If we are unable to obtain any of such licenses and permits or extend, alter or renew any of its current licenses or permits upon their expirations, or if it is required to incur significant additional costs to obtain, extend, alter or renew these licenses, permits and approvals, our daily operations could be materially and adversely affected.</w:t>
      </w:r>
    </w:p>
    <w:p>
      <w:pPr>
        <w:spacing w:after="0" w:line="109"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For instance, in China, in accordance with the Administrative Regulations on the Commercial Performance issued by the State Council of China and last amended on November 29, 2020, a company engages in the business of organizing, producing and/or promoting on-site commercial performance, including commercial performance activities held by us under our esports team operations business, is required to obtain the Commercial Performance License. In addition, the Measures for the Administration of the Internet Performance Brokerage Entities issued by Ministry of Culture and Tourisms further provides that Internet performance brokerage entities, which refers to entities that engage in the operation business of organizing, producing and marketing the internet performances and/or the brokerage business of the agency, like the talent management agencies operated by us, shall, before expiration of the rectification period by February 29, 2024 (“Rectification Period”), (i) obtain the Commercial Performance License before conducting the Internet performance brokerage business, and (ii) be staffed with sufficient qualified online performance brokers that meet its business needs. Moreover, any online performance broker who engages in performance brokerage activities shall obtain the performance brokerage qualification in accordance with the law. For details, see “Regulation — Regulations on Commercial Performance.”</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Our talent management agency has obtained the Commercial Performance License for conducting our business according to the applicable laws and regulations. Certain of our subsidiaries have historically engaged in commercial performance activities operation before obtaining the Commercial Performance License and all such entities have obtained such required license as of the date of this prospectus. As of the date of this prospectus, we have not been the subject of any review, enquiry, punishment or investigation by any PRC regulatory authorities in relation to such action. However, we cannot assure you that relevant government agencies will not impose requirements in the future. Further, we have developed and may in the future initiate new businesses, for which we may be required to obtain new licenses and permits, which could be time consuming and complex. Any failure in obtaining any requisite license, permit or approval, or otherwise to comply with applicable regulatory requirements may subject us to administrative actions and penalties, including fines, confiscation of our incomes, revocation of our licenses or permits, or, in severe cases, cessation of certain business. Any of these actions may have a material and adverse effect on our business, financial condition and results of operations.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access to and store certain data of our esports professionals, brands and sponsors, business and employees in the ordinary course of business operations. We also occasionally have limited access to data concerning viewers of our content streaming and creation, whose data is collected, compiled and shared by streaming and other social media platforms. We cannot verify or assure you that such third parties have obtained sufficient authorization from viewers to share the data with us. Although we have in place systems and processes that are designed to protect the data we have access to, prevent data loss or detect security breaches, such measures may not be sufficient, particularly as techniques to gain unauthorized access to data and system, disable or degrade services, or sabotage systems are constantly evolving. In addition, we may be subject to PRC laws and laws of the EU or other jurisdictions relating to the collection, use, sharing, retention, security, and transfer of confidential and private information, such as personal information and other data. Legal requirements relating to data processing continue to evolve and may result in ever-increasing public scrutiny and escalating levels of enforcement, sanctions and increased costs of compliance. An actual or perceived failure to comply with laws and regulations governing personal information could result in government investigations and enforcement actions against us, fines, claims for damages by affected third parties, damage to our reputation and loss of goodwill, any of which could have a material adverse effect on our business, financial condition, results of operations or prospects.</w:t>
      </w:r>
    </w:p>
    <w:p>
      <w:pPr>
        <w:spacing w:after="0" w:line="127"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Cybersecurity Law of China, which was adopted by the National People’s Congress on November 7, 2016 and came into force on June 1, 2017, and the Cybersecurity Review Measures (2020 Version), which were promulgated on April 13, 2020, provide that personal information and important data collected and generated by a critical information infrastructure operator in the course of its operations in China must be stored in China, and if a critical information infrastructure operator, or the CIIO, purchases internet products and services that affect or may affect national security, it should be subject to cybersecurity review by the Cyberspace Administrative of China (“CAC”).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handling personal information of more than one million users which seeks to list in a foreign stock exchange should also be subject to cybersecurity review.</w:t>
      </w:r>
    </w:p>
    <w:p>
      <w:pPr>
        <w:spacing w:after="0" w:line="33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the PRC promulgated the PRC Data Security Law which took effect on September 1, 2021. The Data Security Law requires that data shall not be collected by theft or other illegal means, and it also presents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the CAC published the Administrative Regulations on the Administration of Network Data Security (Draft for Comments) (“Administrative Regulations Draft”), which provides that data processing operators engaging in data processing activities that affect or may affect national security must be subject to the cybersecurity review. According to the Cybersecurity Review Measures (2021 Version) and the Administrative Regulations Draft, a cybersecurity review should be conducted by the CAC to assess potential national security risks that may be brought about certain any procurement, data processing, or overseas listing.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and the Administrative Regulations Draft further require that online platform operators and</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data processing operators that process personal data of at least one million individual users must apply for a cybersecurity review, if they plan to conduct listings in foreign countries.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While the Cybersecurity Review Measures (2021 Version) was recently adopted and the Administrative Regulations Draft has been released for public comment and has not come into effect as of the date of this prospectus, and their implementation provisions and anticipated adoption or effective date remains substantially uncertain and may be subject to change. Due to the lack of further interpretations, the exact scope of what constitute a “CIIO,” “online platform operators,” “data processors,” or “data handlers” remains unclear. Further, the PRC government authorities may have wide discretion in the interpretation and enforcement of these laws. It also remains uncertain whether any future regulatory changes would impose additional restrictions on companies like us.</w:t>
      </w:r>
    </w:p>
    <w:p>
      <w:pPr>
        <w:spacing w:after="0" w:line="11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believe that neither we nor any of our PRC subsidiaries is subject to the cybersecurity review, reporting or other permission requirements by the CAC under the applicable PRC cybersecurity laws and regulations with respect to this offering or the business operations of our PRC subsidiaries, because as of the date of this prospectus, neither we nor our PRC subsidiaries has received any notice from any authorities identifying us as a CIIO or has conducted any data processing activities that affect or may affect national security or handles personal information of more than one million users; further, as of the date of this prospectus, neither we or our PRC subsidiaries has conducted business as an online platform operator or requiring us to undertake a cybersecurity review by the CAC.</w:t>
      </w:r>
    </w:p>
    <w:p>
      <w:pPr>
        <w:spacing w:after="0" w:line="119"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On March 6, 2023, the CCRC confirmed to us that we would not be required to apply for a cybersecurity review in connection with this offering and our proposed listing because we do not possess over one million users’ personal information. As a result, based on the fact that we are not in possession of more than one million users’ personal information, we are not subject to cybersecurity review by the CAC for this offering and our proposed listing. Further, we have not been subject to any penalties, fines, suspensions, investigations from any competent authorities for violation of the regulations or policies that have been issued by the CAC to date.</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However, as the interpretation or implementation of those rules and whether the PRC regulatory agencies, including the CAC, may adopt new laws, regulations, rules, or detailed implementation and interpretation related to the Cybersecurity Review Measures (2021 Version) and the Administrative Regulations Draft,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its operations. There is no certainty as to how such review or prescribed actions would impact our operations and we cannot assure you that any clearance can be obtained or any actions that may be required for our listing on the Nasdaq Stock Market and the offering as well can be taken in a timely manner, or at all.</w:t>
      </w:r>
    </w:p>
    <w:p>
      <w:pPr>
        <w:spacing w:after="0" w:line="11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EU data protection laws including the General Data Protection Regulation 2016/679 (“GDPR”) which became effective in May 2018, greatly increases the European Union’s jurisdictional reach of its laws and adds a broad array of requirements for handling personal data (including online identifiers and location data). EU member states are tasked under the GDPR to regulate and enforce the strict and all-encompassing data privacy rules that emanate from the GDPR, which also include additional national legislation that adds to and/or further interpret GDPR requirements and potentially extend our obligations and potential liability for failing to meet such obligations. The GDPR, together with national legislation, regulations and guidelines of the EU member states and the United Kingdom (under the UK GDPR) governing the processing of personal data, imposes strict obligations and restrictions on the ability to collect, use, retain, protect, disclose, transfer and otherwise process personal data, as well as provides information to the individuals whose personal data the processing concerns, and facilitates the exercise of these individuals’ rights under, e.g., the GDPR. In particular, the GDPR generally prohibits any transfers of personal data to locations outside the EU/EEA, for instance, from the EU to China, the United States and most other foreign jurisdictions unless the parties to the transfer have implemented specific safeguards to protect the transferred personal information, or if the jurisdiction in question has been granted an adequacy decision by the European Commission. There is uncertainty regarding how to ensure that transfers of personal information from the EU comply with the GDPR. As such, any transfers of personal information by us or our business partners from the EU may not comply with EU data protection laws. In addition, this may increase our exposure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GDPR’s heightened sanctions for violations of its cross-border data transfer restrictions and may reduce demand for our services from companies subject to EU data protection laws. In our endeavor to comply with the cross-border data transfer restrictions under the GDPR and any other applicable data privacy laws, we may experience restrictions in our ability to transfer personal information from the EU and this may also require us to increase our data processing capabilities in those relevant jurisdictions at significant expense.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or cybersecurity. Although we endeavor to comply with our privacy policies, we may at times fail to do so or be alleged to have failed to do so. The publication of our privacy policies and other documentation that provide promises and assurances about privacy and cybersecurity can subject us to potential actions if they are found to be deceptive, unfair, or misrepresentative of our actual practices.</w:t>
      </w:r>
    </w:p>
    <w:p>
      <w:pPr>
        <w:spacing w:after="0" w:line="33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Cayman Islands has enacted the International Tax Co-operation (Economic Substance) Act (As Revised), or the “Cayman Economic Substance Act,” which we are required to comply with as a Cayman Islands exempted company. Our obligations under the Cayman Economic Substance Act include filing annual notifications, which need to state whether we are carrying out any relevant activities and if so, whether we have satisfied economic substance tests to the extent required under the Cayman Economic Substance Act. The Cayman Economic Substance Act was introduced by the Cayman Islands to ensure that it meets its commitments to the European Union, as well as its obligations under the OECD’s global Base Erosion and Profit Shifting initiatives. As it is a new regime, it is anticipated that the Cayman Economic Substance Act will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 subject us to penalties under the Cayman Economic Substance Act.</w:t>
      </w:r>
    </w:p>
    <w:p>
      <w:pPr>
        <w:spacing w:after="0" w:line="11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regulatory requirements with respect to economic substance, cybersecurity and data privacy are constantly evolving and can be subject to varying interpretations, and significant changes, resulting in uncertainties. Failure to comply with the economic substance, cybersecurity and data privacy requirements in a timely manner, or at all, may subject us to government enforcement actions and investigations, fines, penalties, suspension or disruption of our operations, among other things.</w:t>
      </w:r>
    </w:p>
    <w:p>
      <w:pPr>
        <w:spacing w:after="0" w:line="177" w:lineRule="exact"/>
        <w:rPr>
          <w:sz w:val="20"/>
          <w:szCs w:val="20"/>
          <w:color w:val="auto"/>
        </w:rPr>
      </w:pPr>
    </w:p>
    <w:p>
      <w:pPr>
        <w:ind w:left="1260" w:right="8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brands and sponsors or attract new ones, or if we are unable to collect accounts receivable from the brands and sponsors in a timely manner, our financial condition, results of operations and prospects may be materially and adversely affected.</w:t>
      </w:r>
    </w:p>
    <w:p>
      <w:pPr>
        <w:spacing w:after="0" w:line="10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derive a considerable amount of revenue from sponsorship and advertising under our businesses leveraging the extensive global fan base of our esports teams, online entertainers, as well as our event production capabilities with proprietary intellectual properties. We enter into contracts with both brands and sponsors, and the financial soundness of these customers may affect our collection of accounts receivable. We cannot assure you that we are or will be able to accurately assess the creditworthiness of each brand and sponsor, and any inability of brands and sponsors to pay us in a timely manner may adversely affect our liquidity and cash flows.</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for the years ended December 31, 2022 and 2023, the top five customers in terms of overall income contribution aggregately accounted for 75.5% and 71.1% of our total revenues, respectively. Specifically, income generated from Douyu accounted for 51.1% and 12.8% of our net revenues, in 2022 and 2023, respectively. Douyu ceased to be our top customer in 2023, as we began to reallocating resources from Douyu to Huya in response to Douyu’s on-going operational adjustment in 2023. For the year ended December 31, 2023, income generated from Huya accounted for 49.2% of our net revenues in the same year. Although we plan to continue to expand our customer base to generate income from a wider range of customers, we cannot assure you that we will be able to succeed, and that such customer concentration will decrease. If we fail to retain our top customers, our overall income may decrease and our financial condition and results of operations may be materially and adversely affected.</w:t>
      </w:r>
    </w:p>
    <w:p>
      <w:pPr>
        <w:spacing w:after="0" w:line="11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ability to generate and maintain our sponsorship revenue depends on a number of factors including the maintenance and enhancement of our brand as well as the scale, engagement and loyalty of</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our fan base. We cannot assure you that we will be able to retain existing brands and sponsors or attract new ones. If we fail to retain and enhance our relationships with brands and sponsors, our business, results of operations and prospects may be adversely affected.</w:t>
      </w:r>
    </w:p>
    <w:p>
      <w:pPr>
        <w:spacing w:after="0" w:line="138"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if our business relationships and arrangements with third parties were to change adversely or terminate. If our suppliers, shareholders, employees, customers or any business partner engage in, or are subject to, criminal, fraudulent, inappropriate or dangerous activities, our reputation, business, financial condition, and operating results may be adversely impacted.</w:t>
      </w:r>
    </w:p>
    <w:p>
      <w:pPr>
        <w:spacing w:after="0" w:line="93"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rely on relationships with a variety of parties in the esports ecosystem to conduct our businesses, such as game developers and publishers, league owners, athletes, online entertainers, distribution platforms, as well as brands and sponsors. If we fail to retain and enhance our business relationships, including any failure to sign or renew or maintain any material cooperation agreements with these parties, or if these parties choose to terminate or change the terms of our cooperation arrangements for strategic, financial or other reasons, we may suffer content loss, service interruptions, reduced revenues, which could have a material adverse effect on our business, results of operations, financial condition or prospects. For example, we are currently negotiating on the respective renewal of cooperation agreements with two governmental entities.</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Further, we also cannot assure you that we will not be found to be in breach of any provisions with our existing or future business partners if any of our business partners brings claims against us for breach of such provisions. For example, as we have not settled certain payments for tournament rights to a third-party pursuant to the payment provision in the relevant contract, if a claim is brought against us and we are found to be in breach of any provision, we may be subject to potential liabilities and penalties for breach of contracts, such as termination of agreements, liquidated damages etc., which may cause us to lose revenue. As a result of such potential breach, our reputation, financial condition and results of operations may be materially and adversely affected.</w:t>
      </w:r>
    </w:p>
    <w:p>
      <w:pPr>
        <w:spacing w:after="0" w:line="10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success of our business is also driven in part by the commercial success and adequate supply of our suppliers, shareholders, employees, and customers. We also have a close relationship with local authorities and government-backed business partners, who have historically provided us with funding and supports that are integral to the success of our event production. If we are unable to maintain our business relationships and arrangements with these parties, it could cause disruptions to our operations or otherwise adversely impact our relationships with the esports community. In addition, we are not able to control or predict the actions of our suppliers, shareholders, employees, customers or any business partners. If these parties engage in criminal activities, fraud or misconduct, we may receive negative press coverage or regulatory inquiries as a result of the our business relationships with such parties, which would adversely impact the our brands, reputation, and business. In addition, we may have to suspend or terminate our collaborations with these parties, and we may not be able to find alternative parties to collaborate with in a timely and cost efficient manner, or at all. Any adverse changes in or termination of any of these relationships could have a material adverse effect on our business, results of operations, financial condition or prospects.</w:t>
      </w:r>
    </w:p>
    <w:p>
      <w:pPr>
        <w:spacing w:after="0" w:line="158"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actions of the various esports leagues and tournaments we participated in may have a material negative effect on our business and results of operations.</w:t>
      </w:r>
    </w:p>
    <w:p>
      <w:pPr>
        <w:spacing w:after="0" w:line="7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operational bodies of various esports leagues and tournaments, under certain circumstances, can take actions that they deem to be in the best interests of their respective leagues or tournaments, which may not necessarily be consistent with maximizing our results of operations and which could affect our esports teams in ways that are different than the impact on other esports teams. For example, esports leagues may rate each participating esports team using discretionary metrics that are irrelevant to our performance. If we fail to meet their standards, we might be disqualified from the leagues, which may result in significantly reduced exposures and loss of fans and sponsors, which could have a material negative effect on our results of operations. From time to time, we may disagree with or challenge actions that the leagues or tournaments take or the power and authority they assert. However, we cannot assure you that our challenge will be accepted, and they will change their final decisions they have made on us.</w:t>
      </w:r>
    </w:p>
    <w:p>
      <w:pPr>
        <w:spacing w:after="0" w:line="15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up with industry and technology developments or implement new technologies into our offerings in a timely and cost-effective manner, we may be unable to compete effectively, and our business and prospects could suffer.</w:t>
      </w:r>
    </w:p>
    <w:p>
      <w:pPr>
        <w:spacing w:after="0" w:line="87"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esports industry is subject to rapid technological changes and also evolving quickly in terms of technology innovation. We need to anticipate the emergence of new technologies and assess their market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acceptance. Our ability to correctly anticipate the emergence and development of new technologies, including decisions regarding which any such new technologies that should be implemented into our offerings, will be subject to our management teams’ assessments and discretion. Our anticipations and decisions relating thereto will be based on the prevailing facts and circumstances at that time, and we cannot assure you that these will be correct or that we have taken every relevant aspect into consideration in making such decisions. We also need to invest significant resources, including financial resources in research and development, to keep pace with technological advances in order to make our development capabilities and our services competitive in the market. Moreover, we are required to upgrade from time to time our internal IT systems to provide support smooth integration of these future advanced functions. However, development activities are inherently uncertain, and we might encounter practical difficulties in commercializing our development results. Our expenditures on research and development may not generate corresponding benefits. If we are unable to develop, adapt, and support the emerging and popular technologies, our revenues and market share will decline.</w:t>
      </w:r>
    </w:p>
    <w:p>
      <w:pPr>
        <w:spacing w:after="0" w:line="200" w:lineRule="exact"/>
        <w:rPr>
          <w:sz w:val="20"/>
          <w:szCs w:val="20"/>
          <w:color w:val="auto"/>
        </w:rPr>
      </w:pPr>
    </w:p>
    <w:p>
      <w:pPr>
        <w:spacing w:after="0" w:line="207"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could suffer if we fail to protect adequately our intellectual property rights, and unauthorized parties may infringe upon or misappropriate our intellectual property.</w:t>
      </w:r>
    </w:p>
    <w:p>
      <w:pPr>
        <w:spacing w:after="0" w:line="9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regard our intellectual property, including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invested significant resources to develop our own intellectual property and acquire licenses to use and distribute the intellectual property of others. Failure to maintain or protect these rights could harm our business. In addition, any unauthorized use of our intellectual property by third parties may adversely affect our current and future revenues and our reputation.</w:t>
      </w:r>
    </w:p>
    <w:p>
      <w:pPr>
        <w:spacing w:after="0" w:line="11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we are unable to protect our intellectual property, our competitors could use our intellectual property to market offerings similar to ours and our ability to compete effectively would be impaired. Moreover, others may independently develop technologies that are competitive to ours or infringe on our intellectual property. The enforcement of our intellectual property rights depends on our legal actions against these infringers being successful, but we cannot be sure these actions will be successful, even when our rights have been infringed. In addition, defending our intellectual property rights might entail significant expense and diversion of management resources. Any of our intellectual property rights may be challenged by others or invalidated through administrative processes or litigations. We cannot provide assurance that we will prevail in such litigations, and, even if we do prevail, we may not obtain a meaningful relief. Accordingly, despite our efforts, we may be unable to prevent external parties from infringing or misappropriating our intellectual property. Any intellectual property that we own may not provide us with competitive advantages or may be successfully challenged by external parties.</w:t>
      </w:r>
    </w:p>
    <w:p>
      <w:pPr>
        <w:spacing w:after="0" w:line="186"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7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validity, enforceability and scope of protection of intellectual property rights in esports industry is uncertain and still evolving. We may in the future be subject to intellectual property infringement claims or other allegations by third parties for services we provide or for information or content displayed on, retrieved from or linked to, recorded, stored or make accessible through our content, or otherwise distributed to viewers, including in connection with the music, movies, video and games played, recorded, stored or make accessible though our content offerings, which may materially and adversely affect our business, financial condition and prospects. Defending these claims is costly and can impose a significant burden on our management and employees, and there can be no assurances that favorable final outcomes will be obtained in all cases. If we fail to defend these claims, we may be subject to payment of substantial damage penalties and fines, or removal of relevant content from our distribution channels. We cannot assure you that any insurance policies of ours will, wholly or partly, cover any such damage penalties or fines. Such claims, even if they do not result in liability, may harm our reputation and brand image. Any resulting liability or expenses, or changes required to reduce the risk of future liability, may have a material adverse effect on our business, financial condition and prospects.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worldwide, many of which are still developing which could increase our costs or adversely affect our business.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global nature of our business requires us to comply with a wide variety of laws and regulations in each of the jurisdictions in which we operate. Such laws and regulations vary significantly from jurisdiction to jurisdiction and accordingly, it is difficult to produce and implement cost-efficient and group uniform systems, policies and practices for our compliance with the various law and regulations that apply to our businesses across the jurisdictions in which we operate or may come to operate. Moreover, the emerging nature of our industry may lead to that laws and regulations to which we must adhere change with short notice, and accordingly, activities historically undertaken by us may become restricted or banned. Our efforts to comply with a wide array of laws and regulations across several jurisdictions may come with significant costs for e.g., seeking appropriate professional advice in relation to the activities we wish to undertake. If we fail to comply with the laws and regulations of a particular jurisdiction, we may be prohibited from or restricted in conducting our business in that jurisdiction or suffer other adverse consequences which, over an extended period of time or in a number of jurisdictions, could lead to a decline in the revenue streams. In particular, our talent management business can be adversely affected by laws and regulations in certain jurisdictions that restrict the advertising of specified products and services. In China, in particular, governmental authorities promulgate and enforce laws and regulations that cover many aspects of our operations, including the organization of events, the scope of permitted business activities, licenses and permits for various activities, and foreign investments. Operators in China are required to obtain various government approvals, licenses and permits to operate. If we fail to obtain and maintain approvals, licenses or permits required for our business, we could be subject to liabilities, penalties and operational disruption and our business could be materially adversely affected. Such failures in China or elsewhere could adversely affect our ability to grow our business in China and other jurisdictions in which we operate. For details, see “— If we fail to obtain and maintain the requisite licenses, permits and approvals applicable to our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394" w:lineRule="exact"/>
        <w:rPr>
          <w:sz w:val="20"/>
          <w:szCs w:val="20"/>
          <w:color w:val="auto"/>
        </w:rPr>
      </w:pPr>
    </w:p>
    <w:p>
      <w:pPr>
        <w:ind w:left="1260" w:right="8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Local government has substantial influence on our business operation. It may influence or intervene in our operations at any time as part of its efforts to enforce applicable laws, which could result in a material adverse change in our operations and the value of our ADSs.</w:t>
      </w:r>
    </w:p>
    <w:p>
      <w:pPr>
        <w:spacing w:after="0" w:line="10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Governments in the regions where we operate may, from time to time, publish new policies that substantially affect certain industries. We cannot rule out the possibility that future regulations or policies could directly or indirectly affect our industry or require us to obtain additional permissions to continue our operations. Such changes could materially and adversely affect our operation and/or the value of the ADSs.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spacing w:after="0" w:line="191" w:lineRule="exact"/>
        <w:rPr>
          <w:sz w:val="20"/>
          <w:szCs w:val="20"/>
          <w:color w:val="auto"/>
        </w:rPr>
      </w:pPr>
    </w:p>
    <w:p>
      <w:pPr>
        <w:ind w:left="1260" w:right="6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content monitoring system may not be effective in preventing misconduct by athletes and online entertainers, and such misconduct may materially and adversely impact our brand image, business and operating results.</w:t>
      </w:r>
    </w:p>
    <w:p>
      <w:pPr>
        <w:spacing w:after="0" w:line="6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produce livestreaming and other esports-centric content, however as it is difficult to control all content in real time, our content monitor measures may not be adequate and our content may involve individuals or groups of individuals to engage in, among other things, immoral, inappropriate, disrespectful, fraudulent or illegal activities. We have implemented control procedures to detect and block illegal or inappropriate content and illegal or fraudulent activities that may appear in our livestream content, but such procedures may not prevent all such content from being streamed or posted or activities from being carried out. Moreover, as we have limited control over real-time and offline behavior of athletes, online entertainers, to the extent such behavior is associated with us, although we have indemnity clauses in most of our contracts with our athletes and online entertainers, our ability to protect our brand image and reputation may be limited and our reputation may be adversely affected. Our business and the public perception of our brand may therefore be materially and adversely affected.</w:t>
      </w:r>
    </w:p>
    <w:p>
      <w:pPr>
        <w:spacing w:after="0" w:line="12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addition, if any of our viewers suffers or alleges to have suffered physical, financial or emotional harm following contact initiated through our content or after watching unsettling or inappropriate content</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that our content monitoring system failed to filter out, we may face civil lawsuits or other liabilities initiated by the affected viewer, live streaming platforms or governmental or regulatory actions against us. We endeavor to ensure that all livestream content displayed by athletes and online entertainers is in compliance with relevant regulations, but we cannot assure you that individuals involved in such livestream content will comply with all the laws and regulations. Therefore, our talent management, event production and other business may be subject to investigations or subsequent penalties if content live broadcasted through our services is deemed to be illegal or inappropriate under applicable laws and regulations. As a result, our business may suffer, and our revenues and profitability may be materially and adversely affected.</w:t>
      </w:r>
    </w:p>
    <w:p>
      <w:pPr>
        <w:spacing w:after="0" w:line="175" w:lineRule="exact"/>
        <w:rPr>
          <w:sz w:val="20"/>
          <w:szCs w:val="20"/>
          <w:color w:val="auto"/>
        </w:rPr>
      </w:pPr>
    </w:p>
    <w:p>
      <w:pPr>
        <w:jc w:val="both"/>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taken steps to limit online game playing time for all minors and to otherwise restrict and control the content and operation of online games. Such restrictions on online games may materially and adversely impact our business and results of operations.</w:t>
      </w:r>
    </w:p>
    <w:p>
      <w:pPr>
        <w:spacing w:after="0" w:line="101"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As part of its anti-addiction online game policy, the PRC regulators have been implementing regulations designed to reduce the amount of time that youth under the age of 18 spend playing online games.</w:t>
      </w:r>
    </w:p>
    <w:p>
      <w:pPr>
        <w:spacing w:after="0" w:line="10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 October 25, 2019, the National Administration of Press and Publication, or the NAPP, issued the Notice on Preventing Minor’s Addiction to Online Games, or the Anti- Addiction Notice, which requires all online gamers to register accounts with their valid identity information and all game companies to stop providing game services to users who fail to do so. Furthermore, minors are prohibited from playing games exceeding a certain period of time per day or putting money into their accounts exceeding a certain amount. Online game operators are required to explore the manner to notify users of different ages about the online games based on various criteria, such as the games’ content and the amount of money anticipated to be used in the games, on download, registration and log-in pages in a prominent way.</w:t>
      </w:r>
    </w:p>
    <w:p>
      <w:pPr>
        <w:spacing w:after="0" w:line="112" w:lineRule="exact"/>
        <w:rPr>
          <w:sz w:val="20"/>
          <w:szCs w:val="20"/>
          <w:color w:val="auto"/>
        </w:rPr>
      </w:pPr>
    </w:p>
    <w:p>
      <w:pPr>
        <w:ind w:left="1260" w:right="719" w:firstLine="360"/>
        <w:spacing w:after="0" w:line="244" w:lineRule="auto"/>
        <w:rPr>
          <w:sz w:val="20"/>
          <w:szCs w:val="20"/>
          <w:color w:val="auto"/>
        </w:rPr>
      </w:pPr>
      <w:r>
        <w:rPr>
          <w:rFonts w:ascii="Times New Roman" w:cs="Times New Roman" w:eastAsia="Times New Roman" w:hAnsi="Times New Roman"/>
          <w:sz w:val="18"/>
          <w:szCs w:val="18"/>
          <w:color w:val="auto"/>
        </w:rPr>
        <w:t>On August 30, 2021, the NAPP issued Notice on Furthering Tightening Management on Preventing Minor’s Addiction to Online Games, or the Anti-Addiction Further Notice, which further provides that online game operators are only allowed to offer online game services to minors under the age of 18 from 8 pm to 9 pm on Fridays, Saturdays, Sundays and holidays and stresses that all online game users shall register accounts with their valid identity information and online game operators are prohibited from providing online game services to users who have not done so.</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implementation of the Anti -Addiction Notice and the Anti -Addiction Further Notice may lead to a decrease in the number of minors in our viewer base and in general the popularity of the game industry and esports industry among minors, which may materially and adversely affect our results of operations and prospects.</w:t>
      </w:r>
    </w:p>
    <w:p>
      <w:pPr>
        <w:spacing w:after="0" w:line="173" w:lineRule="exact"/>
        <w:rPr>
          <w:sz w:val="20"/>
          <w:szCs w:val="20"/>
          <w:color w:val="auto"/>
        </w:rPr>
      </w:pPr>
    </w:p>
    <w:p>
      <w:pPr>
        <w:ind w:left="12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developments on virtual gifting in the live streaming industry may adversely impact our talent incubation and management business.</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regulatory environment of virtual gifting in live streaming service is tightening. The Online Performance Brokerage Agencies Measures set forth restrictions on conducts of inducing users to consume by means of such as false consumption, taking the lead in virtual gifting, or promoting their online performers by encouraging virtual gifting with rankings and fake advertising, or inducing minor’s tipping with fake identity information. In the past, certain of our subsidiaries engaged in marketing activities to enhance the exposure of our online entertainers on live streaming platforms and to encourage users to spend on virtual gifting during live streaming sessions. We required all our subsidiaries to scrutinize their related business and enhance their internal control procedures to comply with the above regulation requirement. Since the promulgation of the Online Performance Brokerage Agencies Measures, we have taken steps to monitor and refrain from any business practices that may be subject to it. The Online Performance Brokerage Agencies Measures are relatively new, and the interpretation and enforcement of these regulations involve uncertainties. As a result, we cannot assure you that we will not be penalized because of our future business practices in this regard. In addition, on March 25, 2022, the CAC and other PRC regulatory agencies issued Opinions on Further Standardizing the Profit Behavior of Online Live Streaming to Promote the Healthy Development of the Industry, which regulates that the online live streaming publishers and online live streaming service institutions shall not attract traffic and hype through rumors, false marketing propaganda, self -reward and other means to induce consumers to reward and buy goods. We cannot assure you that new rules or regulations promulgated in the future will not impose any additional restrictions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1" w:lineRule="auto"/>
        <w:rPr>
          <w:sz w:val="20"/>
          <w:szCs w:val="20"/>
          <w:color w:val="auto"/>
        </w:rPr>
      </w:pPr>
      <w:r>
        <w:rPr>
          <w:rFonts w:ascii="Times New Roman" w:cs="Times New Roman" w:eastAsia="Times New Roman" w:hAnsi="Times New Roman"/>
          <w:sz w:val="18"/>
          <w:szCs w:val="18"/>
          <w:color w:val="auto"/>
        </w:rPr>
        <w:t>virtual gifting. Any limits or restrictions on the spending on virtual gifting ultimately imposed may negatively impact activities of virtual gifting conducted by viewers of our online entertainers as well as certain of our marketing activities, which may in turn negatively impact our revenues from community engagement. Our business, financial conditions and results of operations may be adversely affected.</w:t>
      </w:r>
    </w:p>
    <w:p>
      <w:pPr>
        <w:spacing w:after="0" w:line="176"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negative publicity of misconduct of participants in the esports ecosystem or other negative developments affecting individual esports or individual events.</w:t>
      </w:r>
    </w:p>
    <w:p>
      <w:pPr>
        <w:spacing w:after="0" w:line="9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could be subject to, or otherwise affected by, negative publicity about us or our business, shareholders, affiliates, managements, athletes, online entertainers, or other employees, as well as our partners, including governing bodies that oversee esports or athletes in esports with which we are involved or, more broadly, home cities, our competitors or other participants in the esports ecosystem. For example, negative publicity regarding the celebrities we are associated with, such as our co-founder Mario Yau Kwan Ho and his family, or our partner Jackson Wang, regardless of merits, could create corresponding negative publicity for us, harm our brand image and, as a result, adversely impact our results of operations.</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Douyu, a live streaming platform which is one of our shareholders and customers, has recently announced that its chief executive officer and the chairman of the board was arrested. Despite that Douyu confirmed it will continue to maintain its normal operations, this could still have negative impacts on the general perception of the live streaming and talent management industry.</w:t>
      </w:r>
    </w:p>
    <w:p>
      <w:pPr>
        <w:spacing w:after="0" w:line="9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impact of negative publicity can be exacerbated by the increasing popularity of instant messaging applications and social media platforms, which provide individuals with access to a broad audience. The availability of information through these applications and platforms is virtually immediate as is its impact, without affording us an opportunity for redress or correction. The opportunity for dissemination of information, including inaccurate information, is seemingly limitless and readily available. The effect of instant communications on social media can be exacerbated by the increasing prevalence on social media. Such publicity, even if unfounded, expose us to reputational risk not only in relation to our brand, shareholders, affiliates, managements or other employees, but also in relation to our partners and the governmental bodies with whom we interact, and we may be required to spend significant time and money to address such allegations. Negative publicity of the types described above, even in circumstances where the connection with us is remote, could have a material adverse effect on our reputation, business, results of operations, financial condition or prospects.</w:t>
      </w:r>
    </w:p>
    <w:p>
      <w:pPr>
        <w:spacing w:after="0" w:line="186" w:lineRule="exact"/>
        <w:rPr>
          <w:sz w:val="20"/>
          <w:szCs w:val="20"/>
          <w:color w:val="auto"/>
        </w:rPr>
      </w:pPr>
    </w:p>
    <w:p>
      <w:pPr>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estimate and assess our performance, and the inaccuracies of which may cause deviations in our business focuses and in turn negatively affect our business, results of operations, and financial conditions.</w:t>
      </w:r>
    </w:p>
    <w:p>
      <w:pPr>
        <w:spacing w:after="0" w:line="10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As a newly developed industry, the esports industry lacks unified metrics to accurately measures its popularity, engagement, and potential investment opportunities. For instance, while certain of the distribution platforms employ viewership count to calculate the number of people watching such livestream, it cannot be used to compare livestreams on different platforms, as the metrics and measurement are completely different. The discrepancies in the metrics used by esports participants make it difficult to compare events and estimate the value of broadcast in terms of interest returns or investment.</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keep track on certain key operating metrics, such as views and subscriptions using our internal data, based on certain assumptions and methodologies that might differ from those deployed by other esports companies. In addition, we also receive data from our partners, including streaming and other social media platforms on which our online entertainers have an active presence. However, our ability to verify the authenticity and accuracy of such data is limited. Fraudulent activities on the streaming platforms including automated streaming and robots might cause the underlying data to deviate from what is presented to us. If we underestimate or overestimate performance due to the data we collected or presented, or we miscomprehend the industry trend reflected in those data, our business strategies might differ from the normal course of conducts. If brands or sponsors make decisions based on the data we presented to them and incur losses, we might be considered of less value to them and result in unexpected impacts in our financial conditions and results of operations.</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cultivate, attract, manage or retain qualified esports talents would cause our business and growth prospect to suffer.</w:t>
      </w:r>
    </w:p>
    <w:p>
      <w:pPr>
        <w:spacing w:after="0" w:line="91"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Our ability to attract, retain and motivate esports talents, particularly professional athletes, online entertainers, are critical to the success of our business. We face significant competition for both fans, athletes and online entertainers. Our competitors may offer equally or more lucrative compensation programs, greater exposures in the media sphere, and more diverse promotional channels. If any of our key professional athletes, or any of our star online entertainers becomes unable or unwilling to contribute their services to us, we may not be able to replace them easily or at all, and their departure may impact our existing corporate culture. Furthermore, we cannot assure you that our athletes or online entertainers will not breach the contracts with us or other live streaming or social media platforms we partner with or will continue to cooperate with us once the term of their respective contracts expires. If we, our professional athletes, or any of our online entertainers is found to be in breach of any contract with the platforms, we may be subject to claims and liabilities arising out of such breaches, including material damages and termination of our existing contracts.</w:t>
      </w:r>
    </w:p>
    <w:p>
      <w:pPr>
        <w:spacing w:after="0" w:line="34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Our professional athletes and online entertainers are considered valuable assets and are critical to the success of our business. In the event that our top performing professional athletes and online entertainers select to cooperate with our competitors, we may experience a significant decline in viewer traffic and viewer engagement, which may jeopardize our perceived commercial value toward brand owners, sponsors and end consumers, and may also deter our platform partners from collaborating with us, any of which may have material and adverse impact on our results of operations and financial conditions. In addition, injuries to, and illness of our athletes and online entertainers may limit or undermine their performance in competition or live performances, which may also lead to dissatisfactions from leagues, fans and sponsors. Chronical diseases may shorten the career span of our professional athletes and online entertainers, which may impede our investment returns in attracting, cultivating and retaining these talents.</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order to attract and retain professional athletes and online entertainers, we may need to offer higher compensation, better trainings, more attractive career trajectory and other benefits to our employees, which may be costly and burdensome. If we are unable to generate sufficient revenues to outpace the increase in such compensation, we may lose opportunities to retain these professional esports athletes, online entertainers and thus incur more losses. In addition, the compensation we pay to these talents could significantly increase our cost of revenues and materially and adversely affect our margins, financial condition and results of operations. We cannot assure you that we will be able to attract or retain qualified professional athletes, influencers or personnel necessary to support our future growth. We may fail to manage our relationship with our professional athletes, online entertainers or employees, and any disputes between us and our professional athletes, influencers or employees, or any labor-related regulatory or legal proceedings may divert managerial and financial resources, negatively impact staff morale, harm our reputation and future recruiting efforts. Furthermore, as our business has grown rapidly, our ability to train and integrate new employees into our operations may not meet the increasing demands of our business. Any of the above issues related to our personnel may materially and adversely affect our results of operations and future growth.</w:t>
      </w:r>
    </w:p>
    <w:p>
      <w:pPr>
        <w:spacing w:after="0" w:line="200" w:lineRule="exact"/>
        <w:rPr>
          <w:sz w:val="20"/>
          <w:szCs w:val="20"/>
          <w:color w:val="auto"/>
        </w:rPr>
      </w:pPr>
    </w:p>
    <w:p>
      <w:pPr>
        <w:spacing w:after="0" w:line="209"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partially on the insights, skills and experience of our senior management team and key personnel, the loss of which could have a material adverse impact on our business, financial conditions, and results of operations.</w:t>
      </w:r>
    </w:p>
    <w:p>
      <w:pPr>
        <w:spacing w:after="0" w:line="10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depends significantly on our continuing ability to attract, develop, motivate and retain our senior management and a sufficient number of esports specialists and other experienced and skilled employees. We benefit from the track record of our senior management team in successfully growing our operations. Our combined team offers deep industry experience throughout the esports ecosystem, as well as in-depth knowledge of the global esports market.</w:t>
      </w:r>
    </w:p>
    <w:p>
      <w:pPr>
        <w:spacing w:after="0" w:line="11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Qualified individuals are in high demand, particularly in the esports ecosystem, and we may have to incur significant costs to attract and retain them. The loss of any member of the senior management team or such specialists could be highly disruptive and adversely affect our business or more broadly impact our future growth. Moreover, if any of these individuals joins a competitor or undertakes a competing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659"/>
        <w:spacing w:after="0" w:line="282" w:lineRule="auto"/>
        <w:rPr>
          <w:sz w:val="20"/>
          <w:szCs w:val="20"/>
          <w:color w:val="auto"/>
        </w:rPr>
      </w:pPr>
      <w:r>
        <w:rPr>
          <w:rFonts w:ascii="Times New Roman" w:cs="Times New Roman" w:eastAsia="Times New Roman" w:hAnsi="Times New Roman"/>
          <w:sz w:val="18"/>
          <w:szCs w:val="18"/>
          <w:color w:val="auto"/>
        </w:rPr>
        <w:t>we may lose crucial business secrets, technological know-how and other valuable resources, notwithstanding our contractual arrangements designed to mitigate this loss.</w:t>
      </w:r>
    </w:p>
    <w:p>
      <w:pPr>
        <w:spacing w:after="0" w:line="158"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not sufficiently cover, or may not cover at all, losses and liabilities we may encounter during the ordinary course of operation.</w:t>
      </w:r>
    </w:p>
    <w:p>
      <w:pPr>
        <w:spacing w:after="0" w:line="9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do not maintain business liability or disruption insurance coverage for our operations, except for certain tournaments in which we purchase insurance for our esports professional athletes, or where the game developer or publisher or event sponsor so requires. Any material or extended business disruption may result in substantial costs and expenses and the diversion of our resources, financial, managerial, or otherwise, which could have an adverse effect on our business, results of operations, financial condition, and prospects.</w:t>
      </w:r>
    </w:p>
    <w:p>
      <w:pPr>
        <w:spacing w:after="0" w:line="400"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expect to continue to grant, options and other types of awards under our share incentive plan, which may result in increased share-based compensation expenses.</w:t>
      </w:r>
    </w:p>
    <w:p>
      <w:pPr>
        <w:spacing w:after="0" w:line="9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have adopted a share option plan in July 2021, or the 2021 Plan, to provide additional incentives to employees. As of the date of this prospectus, the maximum aggregate number of shares which may be issued under the 2021 Plan is 4,360,799 following the Restructuring. See “Management — Share Incentive Plan.” As of the date of this prospectus, options to purchase a total of 4,360,799 ordinary shares of the Company have been granted under the 2021 Plan, excluding awards that were forfeited or cancelled after the relevant grant dates. We recognized substantial share-based compensation expenses in our consolidated financial statements in connection with these grants, and may continue to incur such expenses in the future.</w:t>
      </w:r>
    </w:p>
    <w:p>
      <w:pPr>
        <w:spacing w:after="0" w:line="10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our expenses associated with share-based compensation may increase, which may have an adverse effect on our results of operations.</w:t>
      </w:r>
    </w:p>
    <w:p>
      <w:pPr>
        <w:spacing w:after="0" w:line="185"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or future litigations, arbitrations, governmental investigations and other legal proceedings could have a material and adverse impact on our financial condition and operating results.</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been, and may continue to be, subject to lawsuits, arbitrations and other legal proceedings brought by our competitors, individuals, or other entities against us. In addition, we may institute legal actions from time to time which may not lead to successful or favorable outcome to us. For any pending or future litigation or arbitration where we can make a reasonable estimate of the liability relating to pending litigation or arbitration against us and can determine that an adverse liability resulting from such litigation or arbitration is probable, we will record a related contingent liability. As additional information becomes available, we will assess the potential liability and revise estimates as appropriate. However, due to the inherent uncertainties relating to litigation and arbitration, the amount of our estimates may be inaccurate, in which case our financial condition and results of operations may be adversely affected.</w:t>
      </w:r>
    </w:p>
    <w:p>
      <w:pPr>
        <w:spacing w:after="0" w:line="121"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Lawsuits involving us may also generate negative publicity that significantly harms our reputation, which in turn may adversely affect our user base and adverting customer base. In addition to the related cost, managing and defending litigation and related indemnity obligations can significantly divert our management’s attention from operating our daily business. We may also need to pay damages or settle lawsuits with substantial amounts of cash, which may adversely affect our cash flow and financial conditions. In addition, any insurance or indemnification rights that we may have with respect to such matters may be insufficient or unavailable to protect us against potential loss exposures. While we do not believe that any currently pending proceedings are likely to have a material adverse effect on our business, financial condition, and results of operations, if there were adverse determinations in legal proceedings against us, we could be required to pay substantial monetary damages or to materially alter our business practices, which could have an adverse effect on our financial condition and results of operations, and business prospects.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become subject to formal and informal inquiries, investigations and inspections from government authorities and regulators regarding our compliance with laws and regulations, many of which are evolving and subject to interpretation. Most of these administrative actions may be routine in nature and carried out as part of the market monitoring and supervision functions of the regulatory authorities, but some of them may be triggered by our industry position or by complaints from third parties or customers.</w:t>
      </w:r>
    </w:p>
    <w:p>
      <w:pPr>
        <w:spacing w:after="0" w:line="11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inquiries, inspections, investigations, claims and complaints can be initiated or asserted under or on the basis of a variety of laws in different jurisdictions, including esports-related laws, commercial performance laws, intellectual property laws, unfair competition laws, anti-monopoly laws, data protection and privacy laws, labor and employment laws, securities laws, cybersecurity laws, finance services laws, tort laws, contract laws and property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operations. Even if we are successful in our attempt to defend ourselves in legal and regulatory actions or to assert our rights under various laws and regulations, the process of communicating with relevant regulators, defending ourselves and enforcing our rights against the various parties involved may be expensive, time -consuming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 Upon completion of this offering, we may face additional exposure to claims and lawsuits. These claims could divert management time and attention away from our business and result in significant costs to investigate and defend, regardless of the merits of the claims. In some instances, we may elect or be forced to pay substantial damages if we are unsuccessful in our efforts to defend against these claims, which could harm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 and investor confidence and the market price of our ADSs may be adversely impacted.</w:t>
      </w:r>
    </w:p>
    <w:p>
      <w:pPr>
        <w:spacing w:after="0" w:line="10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management’s preparation and our independent registered public accounting firm’s auditing our consolidated financial statements for the fiscal years ended December 31, 2022 and 2023, we identified one material weakness in our internal control over financial reporting as of December 31, 2022 and 2023, in accordance with the standards established by the Public Company Accounting Oversight Board of the United States (PCAOB).</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material weakness identified related to our lack of sufficient and competent accounting and financial reporting personnel with appropriate knowledge of U.S. GAAP and financial reporting requirements set forth by the SEC to design and implement period-end financial reporting policies and procedures for the preparation of our consolidated financial statements and related disclosures in accordance with U.S. GAAP and the SEC reporting requirements. The material weakness resulted in a number of significant management adjustments and amendments to our consolidated financial statements and related disclosures under U.S. GAAP. The material weakness, if not timely remedied, may lead to material misstatements in our consolidated financial statements in the future.</w:t>
      </w:r>
    </w:p>
    <w:p>
      <w:pPr>
        <w:spacing w:after="0" w:line="119"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for purposes of identifying and reporting material weakness in our internal control over financial reporting. Had we performed an assessment of our internal control over financial reporting or had our independent registered public accounting firm performed an audit of our internal control over financial reporting, additional material weaknesses may have been identified.</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remedy the material weakness. See “Management’s Discussion and Analysis of Financial Condition and Results of Operations — Internal Control Over Financial Reporting.” However, the implementation of these measures may not fully address the material weakness in our internal control over</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financial reporting, and we cannot conclude that they have been fully remediated. Our failure to remediate the material weakness or our failure to discover and address any other material weakness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16"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Upon completion of this offering, we will become a public company in the United States subject to the Sarbanes-Oxley Act of 2002. Section 404 of the Sarbanes-Oxley Act of 2002, or Section 404, will require that we include a report from management on the effectiveness of our internal control over financial reporting in our annual report on Form 20-F beginning with our annual report for the fiscal year ending December 31, 2024.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adverse opinion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34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material weakness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83" w:lineRule="exact"/>
        <w:rPr>
          <w:sz w:val="20"/>
          <w:szCs w:val="20"/>
          <w:color w:val="auto"/>
        </w:rPr>
      </w:pPr>
    </w:p>
    <w:p>
      <w:pPr>
        <w:jc w:val="both"/>
        <w:ind w:left="1260" w:right="9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adversely impacted by the effects of natural disasters such as blizzard, forest fires and earthquakes, public health emergencies and health pandemics, acts of terrorism and other criminal activities.</w:t>
      </w:r>
    </w:p>
    <w:p>
      <w:pPr>
        <w:spacing w:after="0" w:line="5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Natural disasters, acts of war or terrorism or other factors beyond our control may adversely affect the economy, infrastructure and livelihood of the people in the countries or regions where we conduct our business. We have operations and management presence primarily in Wuhan and Shenzhen, China and Stockholm, Sweden. Consequently, we are highly susceptible to factors adversely affecting such places. Serious natural disasters may result in loss of lives, injury, destruction of assets and disruption of our business and operations. Acts of war or terrorism may also injure our employees, cause loss of lives, disrupt our business network and destroy our markets. Any of these factors and other factors beyond our control could have an adverse effect on the overall business sentiment and environment, cause uncertainties in the countries or regions where we conduct business, cause our business to suffer in ways that we cannot predict and materially and adversely impact our business, financial conditions and results of operations.</w:t>
      </w:r>
    </w:p>
    <w:p>
      <w:pPr>
        <w:spacing w:after="0" w:line="190" w:lineRule="exact"/>
        <w:rPr>
          <w:sz w:val="20"/>
          <w:szCs w:val="20"/>
          <w:color w:val="auto"/>
        </w:rPr>
      </w:pPr>
    </w:p>
    <w:p>
      <w:pPr>
        <w:ind w:left="12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uncertainties brought about by the prolonged COVID-19 pandemic has impacted and could in the future have a material adverse impact on our business, financial condition, results of operations and cash flow positions.</w:t>
      </w:r>
    </w:p>
    <w:p>
      <w:pPr>
        <w:spacing w:after="0" w:line="68" w:lineRule="exact"/>
        <w:rPr>
          <w:sz w:val="20"/>
          <w:szCs w:val="20"/>
          <w:color w:val="auto"/>
        </w:rPr>
      </w:pPr>
    </w:p>
    <w:p>
      <w:pPr>
        <w:jc w:val="both"/>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consumer spending and global supply chains, and created significant volatility and disruption of financial markets. The extent of the impact of the COVID-19 pandemic on our business and financial performance, including our ability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58" w:lineRule="auto"/>
        <w:rPr>
          <w:sz w:val="20"/>
          <w:szCs w:val="20"/>
          <w:color w:val="auto"/>
        </w:rPr>
      </w:pPr>
      <w:r>
        <w:rPr>
          <w:rFonts w:ascii="Times New Roman" w:cs="Times New Roman" w:eastAsia="Times New Roman" w:hAnsi="Times New Roman"/>
          <w:sz w:val="18"/>
          <w:szCs w:val="18"/>
          <w:color w:val="auto"/>
        </w:rPr>
        <w:t>execute our near-term and long-term business strategies and initiatives in the expected time frame, will depend on future developments, including the duration and severity of the pandemic, which brings uncertainty to our business operations.</w:t>
      </w:r>
    </w:p>
    <w:p>
      <w:pPr>
        <w:spacing w:after="0" w:line="10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unpredictability in the COVID-19 situation would cast shadows over our business operations, in particular to the event production segment. As a result of the COVID-19 pandemic and the corresponding policies imposed by many countries’ government authorities, including remote work arrangements, travel restrictions, mandatory quarantining requirements or strict lockdowns, many esports tournaments and relevant event originally scheduled had to be cancelled.</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Although recently, China has substantially lifted COVID-19 restrictions, the resurgence of virus within China remains strong. We expect that our operations will continue to be adversely impacted by COVID-19 and its repercussions, including but not limited to governmental regulations on capacity limitations of certain enclosed venues, suggested quarantining or social distancing policies, as well as temporary lockdowns in certain areas due to COVID-19 outbreak. In addition, the difficulty in international travels, and the reduced number of international dialogues between companies or markets across the world due to imposed travel restrictions, lockdowns, quarantines might temporarily slow us in the speed of global expansion and commercialization. The economy downturn partially induced by COVID-19 may also substantially reduce the will of spending of our viewers and consumer, and thereby restrict our monetization abilities, and therefore result in unsatisfactory performance of our business, financial conditions and results of operations.</w:t>
      </w:r>
    </w:p>
    <w:p>
      <w:pPr>
        <w:spacing w:after="0" w:line="326"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management of the impact of the COVID -19 pandemic has required, and may continue to require, significant investment of time by our management and employees. The rapid development and fluidity of this situation precludes any prediction as to the ultimate adverse impact of the COVID-19 pandemic and the resulting governmental and other measures. The foregoing and other impacts of the COVID-19 pandemic could have the effect of heightening many of the other risks described in this prospectus, and any of these impacts could materially adversely affect our business, financial condition and results of operations.</w:t>
      </w:r>
    </w:p>
    <w:p>
      <w:pPr>
        <w:spacing w:after="0" w:line="178" w:lineRule="exact"/>
        <w:rPr>
          <w:sz w:val="20"/>
          <w:szCs w:val="20"/>
          <w:color w:val="auto"/>
        </w:rPr>
      </w:pPr>
    </w:p>
    <w:p>
      <w:pPr>
        <w:ind w:left="12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sensitive to economic conditions. Negative global economic conditions and other macroeconomic challenges could materially and adversely affect our business, financial condition and results of operations.</w:t>
      </w:r>
    </w:p>
    <w:p>
      <w:pPr>
        <w:spacing w:after="0" w:line="5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business is subject to global economic conditions and their impact on consumer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Consumer spending on discretionary items, including esports game tickets and purchases of the merchandise that we offer, generally decline during periods of economic uncertainty or downturn, when disposable income is reduced or when there is a reduction in consumer confidence. Adverse economic changes could reduce consumer confidence, and thereby could negatively affect our business. These economic difficulties and other macroeconomic challenges change rapidly and are difficult to predict, and if we are unable to adequately address them, our business may be harmed.</w:t>
      </w:r>
    </w:p>
    <w:p>
      <w:pPr>
        <w:spacing w:after="0" w:line="184"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Changes in the value of Renminbi, Euro, Swedish Krona and other foreign currencies against U.S. dollars are affected by, among other things, changes in local political and economic conditions. Any significant revaluation of the Renminbi, Euro or Swedish Krona may have a material adverse effect on our revenues and financial condition, and the value of, and any dividends payable on our shares in U.S. dollar terms. For example, to the extent that we need to convert U.S. dollars we receive from our initial public offering into Renminbi, Euro or Swedish Krona for our operations, appreciation of these currencies against the U.S. dollar would have an adverse effect on the amount we would receive from the conversion. Conversely, if we decide to convert our Renminbi, Euro or Swedish Krona into U.S. dollars for the purpose of paying dividends or for other business purposes, appreciation of the U.S. dollar against these currencies would have a negative effect on the U.S. dollar amount available to us. In addition, fluctuations of the Renminbi, Euro or Swedish Krona against other currencies may increase or decrease the cost of imports and exports, and thus affect the price-competitiveness of our products against products of foreign</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manufacturers or products relying on foreign inputs. Very limited hedging options are available to reduce our exposure to exchange rate fluctuations. Although from time to time, we may use hedging transactions in an effort to reduce our exposure to foreign currency exchange risk, these hedges may not be effective.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 regulatory authorities could disallow our holding company structure.</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NIP Group Inc. is not a Chinese operating company but a Cayman Islands holding company with operations primarily conducted through its wholly-owned subsidiaries in (i) Sweden, namely Ninjas in Pyjamas Gaming AB, which is engaged in esports teams operations, and (ii) China, namely Wuhan Xingjingweiwu Culture &amp; Sports Development Co., Ltd., which is engaged in esports teams, talent management and event production operations. Under this holding company structure, investors in the ADSs are purchasing equity interests in the Cayman Islands holding company. This holding company structure involves unique risks to investors and investors may never hold equity interests in the Swedish and Chinese operating companies. Chinese regulatory authorities could disallow our structure which, in turn, would likely result in a material change in our operations or the value of our ADSs. In such an event, the value of our ADSs you invest in could significantly decline or become worthless.</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Laws regulating foreign investment in China include the PRC Foreign Investment Law effective from January 1, 2020, and the Regulation on Implementing the PRC Foreign Investment Law, or the Implementation Regulations, effective from January 1, 2020. The PRC Foreign Investment Law specifies that foreign investments shall be conducted in line with the “negative list” to be issued or approved to be issued by the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our ADSs.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w:t>
      </w:r>
    </w:p>
    <w:p>
      <w:pPr>
        <w:spacing w:after="0" w:line="200" w:lineRule="exact"/>
        <w:rPr>
          <w:sz w:val="20"/>
          <w:szCs w:val="20"/>
          <w:color w:val="auto"/>
        </w:rPr>
      </w:pPr>
    </w:p>
    <w:p>
      <w:pPr>
        <w:spacing w:after="0" w:line="208" w:lineRule="exact"/>
        <w:rPr>
          <w:sz w:val="20"/>
          <w:szCs w:val="20"/>
          <w:color w:val="auto"/>
        </w:rPr>
      </w:pPr>
    </w:p>
    <w:p>
      <w:pPr>
        <w:ind w:left="12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significant oversight and discretion over the conduct of our business, and it may intervene or influence our operations at any time, which could result in a material adverse change in our operations and/or the value of our ADSs.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China are governed by PRC laws and regulations. The PRC government has significant oversight and discretion over the conduct of our business, and may intervene or influence our operations at any time, which could result in a material adverse change in our operations and/or the value of our ADSs.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Therefore, investors of our company and our business face potential uncertainty from actions taken by the PRC government affecting our business. In addition, the Chinese government has exerted more oversight and control over offerings that are conducted overseas and foreign investment in China-based issuers. Such actions could significantly limit or completely hinder our ability to offer or continue to offer securities to investors and cause the value of our ADSs to significantly decline or be worthless. For more details, see “— The approval of PRC government authorities may be required in connection with this offering under PRC law, and if required, we cannot predict whether or for how long we will be able to obtain such approval.” and “— Any failure by us to meet with the continue developing PRC legal system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financial conditions and results of operations.</w:t>
      </w:r>
    </w:p>
    <w:p>
      <w:pPr>
        <w:spacing w:after="0" w:line="9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 large portion of our operations are located in China. Accordingly, our business, prospects, financial condition and results of operations may be affected to a significant degree by political, economic and social conditions in China generally.</w:t>
      </w:r>
    </w:p>
    <w:p>
      <w:pPr>
        <w:spacing w:after="0" w:line="10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PRC government has implemented measures emphasizing the utilization of market forces for economic reform, the reduction of state ownership of productive assets and the establishment of improved corporate governance in business enterprises, and such measures and policies relating to such measures are evolving and subject to change. The PRC government has significant authority to exert influence on the ability of a China-based company, such as us, to conduct its business. Therefore, investors of our company and our business face potential uncertainty from the PRC government.</w:t>
      </w:r>
    </w:p>
    <w:p>
      <w:pPr>
        <w:spacing w:after="0" w:line="10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PRC government has implemented certain measures, including interest rate adjustment, to control the pace of economic growth, and the growth rate of the Chinese economy has gradually slowed since 2010, and the impact of COVID-19 on the global and Chinese economy since 2020 is severe. Any prolonged slowdown in the Chinese economy may reduce the demand for our offerings of products and services and materially and adversely affect our business and results of operations. Furthermore, the increased global focus on social, ethical and environmental issues may lead to China’s adoption of more stringent standards in these areas, which may adversely impact the operations of China-based companies including us.</w:t>
      </w:r>
    </w:p>
    <w:p>
      <w:pPr>
        <w:spacing w:after="0" w:line="188"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of PRC government authorities may be required in connection with this offering under PRC law, and if required, we cannot predict whether or for how long we will be able to obtain such approval.</w:t>
      </w:r>
    </w:p>
    <w:p>
      <w:pPr>
        <w:spacing w:after="0" w:line="9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Regulations on Mergers and Acquisitions of Domestic Companies by Foreign Investors, or the M&amp;A Rules, adopted by six PRC regulatory agencies in 2006 and amended in 2009, requires overseas special purpose vehicles that are controlled by PRC companies or individuals formed for the purpose of seeking a public listing on an overseas stock exchange through acquisitions of PRC domestic companies using shares of such special purpose vehicles or held by its shareholders as considerations to obtain the approval of the CSRC, prior to the listing and trading of such special purpose vehicle’s securities on an overseas stock exchange. However, the interpretation and application of the M&amp;A Rules remain unclear. If CSRC approval is required, it is uncertain whether it would be possible for us or how long it will take us to obtain the approval, and even if we obtain such CSRC approval, such CSRC approval could be rescinded. Any failure to obtain or delay in obtaining CSRC approval for this offering, or a rescission of such CSRC approval if obtained by us, would subject us to sanctions imposed by the CSRC and other PRC regulatory agencies,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33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PRC counsel has advised us that based on their understanding of the current PRC laws, rules and regulations that we will not be required to submit an application to the CSRC for the approval under the M&amp;A Rules for this offering or the listing and trading of the ADSs on the Nasdaq Stock Market, primarily because (i) the CSRC currently has not issued any definitive rule or interpretation concerning whether offerings like ours under this prospectus are subject to this regulation; and (ii) we did not acquire any equity interests or assets of a “PRC domestic company” as such terms are defined under the M&amp;A Rules.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However, our PRC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we do. If it is determined that CSRC approval is required for this offering, we may face sanctions by the CSRC or other PRC regulatory agencies for failure to seek CSRC approval for this offering.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Any failure by us to meet with the continue developing PRC legal system could adversely affect us.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where prior court decisions have limited precedential value. The PRC legal system is evolving rapidly, and the interpretations of many laws, regulations and rules may contain inconsistencies and enforcement of these laws, regulations and rules involves uncertainties.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particular, PRC laws and regulations concerning the internet-related industries are developing and evolving.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internet-related industries. We cannot assure you that our business operations will meet the requirements of governmental authorities in China in a timely manner, or that our business operations would not be deemed to violate any such new PRC laws or regulations. Moreover, developments in the internet-related industries may lead to changes in PRC laws, regulations and policies or in the interpretation and application of existing laws, regulations and policies, which in turn may limit or restrict us, and could materially and adversely affect our business and operations.</w:t>
      </w:r>
    </w:p>
    <w:p>
      <w:pPr>
        <w:spacing w:after="0" w:line="323"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Further, we are also subject to a variety of laws and regulations in the PRC regarding our capital raising activities, which may be continuously evolving and under development. For instance, on February 17, 2023, the CSRC released the New Regulations on Filing, which was formally implemented on March 31, 2023.</w:t>
      </w:r>
    </w:p>
    <w:p>
      <w:pPr>
        <w:spacing w:after="0" w:line="1"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Under New Regulations on Filing, a filing-based regulatory system will also be applied to “indirect overseas offering and listing” of PRC domestic companies, and those PRC domestic companies that have submitted a valid application for an overseas offering and listing but have not received consent from the overseas regulator or overseas stock exchange before March 31, 2023, such as shall complete the filing with CSRC before the completion of this offering. The CSRC published the notification on our completion of the required filing procedures on May 30, 2024 for this offering.</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difficult to predict the outcome of a judicial or administrative proceeding. These uncertainties may impede our ability to enforce the contracts we have entered into and could materially and adversely affect our business and results of operations.</w:t>
      </w:r>
    </w:p>
    <w:p>
      <w:pPr>
        <w:spacing w:after="0" w:line="11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may not always be aware of any potential violation of government policies and rules that may not be made available to us in a timely manner. Such unpredictability towards our contractual, property (including intellectual property) and procedural rights could adversely affect our business and impede our ability to continue our operations.</w:t>
      </w:r>
    </w:p>
    <w:p>
      <w:pPr>
        <w:spacing w:after="0" w:line="176" w:lineRule="exact"/>
        <w:rPr>
          <w:sz w:val="20"/>
          <w:szCs w:val="20"/>
          <w:color w:val="auto"/>
        </w:rPr>
      </w:pPr>
    </w:p>
    <w:p>
      <w:pPr>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 governing esports related service businesses and companies, and any lack of requisite approvals, licenses or permits applicable to our business may have material adverse effect on our business and results of operations.</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in the PRC governing the esports related service industry. The application and interpretation as to certain of these laws and regulations involve uncertainties, and may be interpreted and administered inconsistently among different governmental authorities and local bureaus. As a result, in certain circumstances it may be difficult to determine what actions or omissions may be deemed to be in violation of applicable laws and regulations. We have obtained commercial performance permits, and other relevant permits required for operating our business.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However,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may levy fines, confiscate our income, revoke our business licenses, and require us to discontinue our business or impose restrictions on the affected portion of our business. Any of these actions may have a material adverse effect on our business and results of operations. For details on PRC regulations which may affect our business, see “Regulation.”</w:t>
      </w:r>
    </w:p>
    <w:p>
      <w:pPr>
        <w:spacing w:after="0" w:line="18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9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However, we conduct a large portion of our operations in China and a large portion of our assets are located in China. In addition, most of our senior executive officers reside within China for a significant portion of the time and many of them are PRC nationals. As a result, it may be difficult for you to effect service of process upon us or our management named in the prospectus inside mainland China. It may also be difficult for you to enforce in U.S. courts of the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34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Furthermore, class action lawsuits, which are available in the United States for investors to seek remedies, are generally uncommon in China.</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 border supervision and administration, such cooperation with the securities regulatory authorities in the Unities States may not be efficient in the absence of a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In addition, entities or individuals are prohibited from providing documents and information in connection with any securities business activities to any organizations and/or persons abroad without the prior consent of the securities regulatory authority of the State Council and the competent departments of the State Council.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 Risks Related to Our ADSs and This Offering — You may face difficulties in protecting your interests, and your ability to protect your rights through U.S. courts may be limited, because we are incorporated under Cayman Islands law” for risks associated with investing in us as a Cayman Islands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The Notice Regarding the Determination of Chinese-Controlled Offshore- Incorporated Enterprises as PRC Tax Resident Enterprises on the Basis of De Facto Management Bodies, which was amended by the State Administration of Taxation on December 29, 2017, or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5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(including our ADS holders) that are non-resident enterprises, subject to any reduction set forth in applicable tax treaties.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payable to our non-PRC individual shareholders (including our ADS holders) and any gain realized on the transfer of ADSs or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or area of tax residence and the PRC in the event that we are treated as a PRC resident enterprise. Any such tax may reduce the returns on your investment in the ADSs or ordinary shares.</w:t>
      </w:r>
    </w:p>
    <w:p>
      <w:pPr>
        <w:spacing w:after="0" w:line="189"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 of equity interests in PRC resident enterprises by their non-PRC holding companies.</w:t>
      </w:r>
    </w:p>
    <w:p>
      <w:pPr>
        <w:spacing w:after="0" w:line="7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face uncertainties regarding the reporting on and consequences of previous private equity financing transactions involving the transfer and exchange of shares in our company by non-resident investors. In February 2015, the State Administration of Taxation issued the Bulletin on Issues of Enterprise Income Tax on Indirect Transfers of Assets by Non-PRC Resident Enterprises or Bulletin 7. Pursuant to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transferee or other person who is obligated to pay for the transfer is obligated to withhold the applicable taxes, currently at a rate of 10% for the transfer of equity interests in a PRC resident enterprise.</w:t>
      </w:r>
    </w:p>
    <w:p>
      <w:pPr>
        <w:spacing w:after="0" w:line="9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Announcement of the State Administration of Taxation on Issues Concerning the Withholding of Non-resident Enterprise Income Tax at Source, or Bulletin 37, which came into effect on December 1, 2017. Bulletin 37 further clarifies the practice and procedure of the withholding of nonresident enterprise income tax.</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 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Bulletin 7 and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0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PRC tax authorities have the discretion under Bulletin 7 to make adjustments to the taxable capital gains based on the difference between the fair value of the taxable assets transferred and the cost of investment. If the PRC tax authorities make adjustments to the taxable income of the transactions under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spacing w:after="0" w:line="184"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our preferential tax treatments and government subsidies are revoked or become unavailable or if the calculation of our tax liability is successfully challenged by the PRC tax authorities, we may be required to pay tax, interest and penalties in excess of our tax provisions. Discontinuation of any preferential tax treatments or imposition of any additional taxes could adversely affect our financial condition and results of operations.</w:t>
      </w:r>
    </w:p>
    <w:p>
      <w:pPr>
        <w:spacing w:after="0" w:line="9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Chinese government has provided tax incentives to our PRC subsidiaries, primarily in the form of reduced enterprise income tax rates. For example, under the Enterprise Income Tax Law and its implementation rules, the statutory enterprise income tax rate is 25%. However, the income tax of an enterprise that has been determined to be a high and new technology enterprise can be reduced to a preferential rate of 15%. In addition, certain of our PRC subsidiaries enjoy local government subsidies. Any increase in the enterprise income tax rate applicable to our PRC subsidiaries in China, or any discontinuation, retroactive or future reduction or refund of any of the preferential tax treatments and local government subsidies currently enjoyed by our PRC subsidiaries in China, could adversely affect our business, financial condition and results of operations.</w:t>
      </w:r>
    </w:p>
    <w:p>
      <w:pPr>
        <w:spacing w:after="0" w:line="34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Further, in the ordinary course of our business, we are subject to complex income tax and other tax regulations, and significant judgment is required in the determination of a provision for income taxes. Although we believe our tax provisions are reasonable, including in the agreements we sign with online entertainers, influencers or distribution platforms, under which the parties thereto shall respectively bear the tax obligations, we cannot guarantee whether these third parties strictly comply with these provisions or relevant tax laws. If our online entertainers, influencers or distribution platforms fail to comply with PRC tax laws and other related laws and regulations, it may lead to negative news, investigation, administrative penalties or legal disputes or proceedings, which may affect their cooperation with us, and thus may adversely affect our reputation. And if the PRC tax authorities successfully challenge our position or our cooperate manner with our online entertainers, influencers or distribution platforms and we are required to pay tax, interest and penalties in excess of our tax provisions, our financial condition and results of operations would be materially and adversely affected. In addition, as certain of our cooperation agreements with live streaming or other distribution platforms prescribe our obligations to supervise the tax compliance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58" w:lineRule="auto"/>
        <w:rPr>
          <w:sz w:val="20"/>
          <w:szCs w:val="20"/>
          <w:color w:val="auto"/>
        </w:rPr>
      </w:pPr>
      <w:r>
        <w:rPr>
          <w:rFonts w:ascii="Times New Roman" w:cs="Times New Roman" w:eastAsia="Times New Roman" w:hAnsi="Times New Roman"/>
          <w:sz w:val="18"/>
          <w:szCs w:val="18"/>
          <w:color w:val="auto"/>
        </w:rPr>
        <w:t>online entertainers and influencers, failure of our online entertainers and influencers to comply with PRC tax laws may lead to disputes between the distribution platforms and us, which may adversely affect our business and reputation.</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Government subsidies and preferential tax treatments are subject to discretions of the relevant governmental authorities and our eligibility for them are therefore out of our control. Discontinuation of any preferential tax treatments or imposition of any additional taxes could adversely affect our financial condition and results of operations.</w:t>
      </w:r>
    </w:p>
    <w:p>
      <w:pPr>
        <w:spacing w:after="0" w:line="173"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Companies operating in China are also required to withhold individual income tax on employees’ salaries based on the actual salary of each employee upon payment. With respect to the underpaid employee benefits, we may be required to complete registrations, make up the contributions for these plans as well as to pay late fees and fines. With respect to the under-withheld individual income tax, we may be required to make up sufficient withholding and pay late fees and fines. If we are subject to late fees or fines in relation to the underpaid employee benefits and under-withheld individual income tax, our financial condition and results of operations may be adversely affected. We may also be subject to regulatory investigations and other penalties if our other employment practices (e.g., engaging third-party human resource service providers to pay social insurance and housing funds for our employees on our behalf) are deemed to be in violation of relevant PRC laws and regulations.</w:t>
      </w:r>
    </w:p>
    <w:p>
      <w:pPr>
        <w:spacing w:after="0" w:line="193"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PRC Labor Contract Law and other labor-related regulations in China may subject us to penalties or liabilities.</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PRC Labor Contract Law, which was amended in 2012,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 fixed term labor contract with any employee who has worked for the employer for ten consecutive years. Further, if an employee requests or agrees to renew a fixed- term labor contract that has already been entered into twice consecutively, the resulting contract, with certain exceptions, must have a non-fixed term, subject to certain exceptions. With certain exceptions, an employer must pay severance to an employee where a labor contract is terminated or expires. In addition, the PRC governmental authorities have continued to introduce various new labor- related regulations since the effectiveness of the Labor Contract Law.</w:t>
      </w:r>
    </w:p>
    <w:p>
      <w:pPr>
        <w:spacing w:after="0" w:line="32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These laws and regulations designed to enhance labor protection tend to increase our labor costs. In addition, as the interpretation and implementation of these regulations are still evolving, our employment practices may not be at all times deemed to be in compliance with the regulations. As a result, we could be subject to penalties or incur significant liabilities in connection with labor disputes or investigations.</w:t>
      </w:r>
    </w:p>
    <w:p>
      <w:pPr>
        <w:spacing w:after="0" w:line="173"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property laws and relevant regulations regarding certain of our leased properties may adversely affect our business, results of operations and financial condition.</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applicable PRC laws and regulations, the parties to a lease agreement are required to register and file such lease agreement with the relevant government authorities. As of the date of this prospectus, none of our leased properties had been registered or filed. While as confirmed by our PRC legal counsel, the lack of registration will not affect the validity of the lease agreements nor our rights to use or occupy the leased properties under PRC laws and regulations, we may be ordered by the relevant government authorities to register the relevant lease agreements within a prescribed period, failing which may subject us to a fine ranging from RMB1,000 to RMB10,000 for each non-registered lease. However, we cannot assure you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our lessors will cooperate with us to register such leases due to factors beyond our control or our use of the relevant properties will not be further challenged in the future. Any of these may have an adverse effect on our business, financial condition, results of operation and prospects. As of the date of this prospectus, lessors of some of our leased properties had not provided us with their authorization from the legal owners of the relevant properties to sublease such properties to us. If any of the lessors is not the legal owner or has not been duly authorized by the legal owner, the relevant lease agreements may be deemed invalid and, as a result, we may be challenged by the legal owners of the properties or other third parties and may be forced to vacate the relevant properties and relocate our offices. Additionally, we may face administration penalties because the registered addresses of some of our PRC subsidiaries are not consistent with their actual operating offices.</w:t>
      </w:r>
    </w:p>
    <w:p>
      <w:pPr>
        <w:spacing w:after="0" w:line="200" w:lineRule="exact"/>
        <w:rPr>
          <w:sz w:val="20"/>
          <w:szCs w:val="20"/>
          <w:color w:val="auto"/>
        </w:rPr>
      </w:pPr>
    </w:p>
    <w:p>
      <w:pPr>
        <w:spacing w:after="0" w:line="205"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may make it more difficult for us to pursue growth through acquisitions, and regulatory uncertainties relating to, or failure to comply with anti-monopoly and competition laws could adversely affect our business, financial condition, or operating result.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M&amp;A Rules and some other regulations and rules concerning mergers and acquisitions established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complex procedures and requirements for acquisition of Chinese companies by foreign investors, including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requirements in some instances that the PRC Ministry of Commerce be notified in advance of any change-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of-control transaction in which a foreign investor takes control of a PRC domestic enterprise. Moreover,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Anti-Monopoly Law promulgated by the Standing Committee of the National People’s Congress, which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became effective in 2008, and the latest amendment of which took effect from August 1, 2022, requires that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transactions which are deemed concentrations and involve parties with specified turnover thresholds must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 cleared by the Anti- Monopoly Law-Enforcement Agency under the State Council before they can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completed. Pursuant to the latest Anti-Monopoly Law, the State Council’s anti-monopoly enforcement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agency may order business operators to cease illegal concentration, to dispose of shares, assets or businesses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within a defined period of time, or to take other necessary measures to restore to the state before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concentration. For details, see “Regulation — Regulations on Anti-Monopoly.” Furthermore, if we failed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report to or get approved by the anti-monopoly law enforcement agency in China on any of our future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acquisitions (whether by ourselves or our subsidiaries) or financings that meet the thresholds for clearance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a timely manner or at all, or any of our historical transactions or financings were investigated for failure</w:t>
      </w:r>
    </w:p>
    <w:p>
      <w:pPr>
        <w:ind w:left="1260"/>
        <w:spacing w:after="0" w:line="235" w:lineRule="auto"/>
        <w:rPr>
          <w:sz w:val="20"/>
          <w:szCs w:val="20"/>
          <w:color w:val="auto"/>
        </w:rPr>
      </w:pPr>
      <w:r>
        <w:rPr>
          <w:rFonts w:ascii="Times New Roman" w:cs="Times New Roman" w:eastAsia="Times New Roman" w:hAnsi="Times New Roman"/>
          <w:sz w:val="18"/>
          <w:szCs w:val="18"/>
          <w:color w:val="auto"/>
        </w:rPr>
        <w:t>to make filings in connection with concentration of undertakings by regulatory, we may be subject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penalty including but not limited to a fine of no more than RMB500,000 if we fail to comply with such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requirement. In addition, the security review rules issued by the Ministry of Commerce which became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effective in September 2011 specify that mergers and acquisitions by foreign investors that raise “national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defense and security” concerns and mergers and acquisitions through which foreign investors may acquire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 facto control over domestic enterprises that raise “national security” concerns are subject to strict review</w:t>
      </w:r>
    </w:p>
    <w:p>
      <w:pPr>
        <w:ind w:left="1260"/>
        <w:spacing w:after="0" w:line="234" w:lineRule="auto"/>
        <w:rPr>
          <w:sz w:val="20"/>
          <w:szCs w:val="20"/>
          <w:color w:val="auto"/>
        </w:rPr>
      </w:pPr>
      <w:r>
        <w:rPr>
          <w:rFonts w:ascii="Times New Roman" w:cs="Times New Roman" w:eastAsia="Times New Roman" w:hAnsi="Times New Roman"/>
          <w:sz w:val="18"/>
          <w:szCs w:val="18"/>
          <w:color w:val="auto"/>
        </w:rPr>
        <w:t>by the Ministry of Commerce, and the rules prohibit any activities attempting to bypass a security review,</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by structuring the transaction through a proxy or contractual control arrangement.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19, 2020, the Measures for the Security Review for Foreign Investment was jointly issued by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NDRC and the Ministry of Commerce and took effect from January 18, 2021. The Measures for the Security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Review for Foreign Investment specified provisions concerning the security review mechanism on foreign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including the types of investments subject to review, review scopes and procedures, among</w:t>
      </w: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124"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In the future, we may pursue potential strategic acquisitions that are complementary to our business and operations. Complying with the requirements of the above-mentioned regulations and other rules to complete such transactions could be time -consuming,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spacing w:after="0" w:line="389"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offshore investment activities by PRC residents may limit our PRC subsidiary’s ability to change their registered capital or distribute profits to us or otherwise expose us or our PRC resident beneficial owners to liability and penalties under PRC laws. In addition, any failure to comply with PRC regulations with respect to registration requirements for offshore financing may subject us to legal or administrative sanctions.</w:t>
      </w:r>
    </w:p>
    <w:p>
      <w:pPr>
        <w:spacing w:after="0" w:line="93"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In July 2014, the State Administration of Foreign Exchange, or SAFE, promulgated the Circular on Relevant Issues Concerning Foreign Exchange Control on Domestic Residents’ Offshore Investment and Financing and Roundtrip Investment Through Special Purpose Vehicles, or SAFE Circular 37. SAFE Circular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Under these foreign exchange regulations, PRC residents who make, or have previously made, prior to the implementation of these foreign exchange regulations, direct or indirect investments in offshore companies are required to register those investments. In addition, any PRC resident who is a direct or indirect shareholder of an offshore company is required to update its previously filed SAFE registration, to reflect any material change involving its round-trip investment. If any PRC shareholder fails to make the required registration or update the previously filed registration, the PRC subsidiary of that offshore parent company may be restricted from distributing their profits and the proceeds from any reduction in capital, share transfer or liquidation to their offshore parent company, and the offshore parent company may also be restricted from injecting additional capital into its PRC subsidiary. Moreover, failure to comply with the various foreign exchange registration requirements described above could result in liability under the PRC laws for evasion of applicable foreign exchange restrictions, including (i)the requirement by SAFE to return the foreign exchange remitted overseas or into the PRC within a period of time specified by SAFE, with a fine of up to 30% of the total amount of foreign exchange remitted overseas or into the PRC and deemed to have been evasive or illegal and (ii) in circumstances involving serious violations, a fine of no less than 30% of and up to the total amount of remitted foreign exchange deemed evasive or illegal.</w:t>
      </w:r>
    </w:p>
    <w:p>
      <w:pPr>
        <w:spacing w:after="0" w:line="123"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are committed to complying with and to ensuring that our shareholders who are subject to these regulations will comply with the SAFE rules and regulations. However, due to the inherent uncertainty in the implementation of the regulatory requirements by the PRC authorities, such registration might not be always practically available in all circumstances as prescribed in those regulations. In addition, we may not always be able to compel them to comply with SAFE Circular 37 or other related regulations. We cannot assure you that SAFE or its local branches will not release explicit requirements or interpret the PRC laws and regulations otherwise. We may not be fully informed of the identities of all of our shareholders or beneficial owners who are PRC residents, and we cannot provide any assurance that all of our shareholders and beneficial owners who are PRC residents will comply with our request to make, obtain or update any applicable registrations or comply with other requirements under SAFE Circular 37 or other related rules in a timely manner.</w:t>
      </w:r>
    </w:p>
    <w:p>
      <w:pPr>
        <w:spacing w:after="0" w:line="32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Because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governmental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 denominated borrowings, which may adversely affect our results of operations and financial condition. This may restrict our ability to implement our acquisition strategy and could adversely affect our business and prospects.</w:t>
      </w:r>
    </w:p>
    <w:p>
      <w:pPr>
        <w:spacing w:after="0" w:line="11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addition, our offshore financing activities, such as the issuance of foreign debt, are also subject to PRC laws and regulations. In accordance with such laws and regulations, we may be required to complete filing and registration with the NDRC prior to such activities. Failure to comply with the requirements may result in administrative meeting, warning, notification and other regulatory penalties and sanctions.</w:t>
      </w:r>
    </w:p>
    <w:p>
      <w:pPr>
        <w:spacing w:after="0" w:line="173"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materially adversely affected if our shareholders and beneficial owners who are PRC entities fail to comply with the PRC overseas investment regulations.</w:t>
      </w:r>
    </w:p>
    <w:p>
      <w:pPr>
        <w:spacing w:after="0" w:line="7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December 26, 2017, the NDRC promulgated the Administrative Measures on Overseas Investments, which took effect as of March 1, 2018. According to this regulation, non- sensitive overseas investment projects are subject to record-filing requirements with the local branch of the NDRC. On September 6, 2014,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the Ministry of Commerce promulgated the Administrative Measures on Overseas Investments, which took effect as of October 6, 2014. According to this regulation, overseas investments of PRC enterprises that involve non-sensitive countries and regions and non-sensitive industries are subject to record-filing requirements with a local branch of Ministry of Commerce. According to the Circular of the State Administration of Foreign Exchange on Issuing the Regulations on Foreign Exchange Administration of the Overseas Direct Investment of Domestic Institutions, which was promulgated by SAFE on July 13, 2009, and took effect on August 1, 2009, PRC enterprises must register for overseas direct investment with a local SAFE branch.</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We may not be fully informed of the identities of all of our shareholders or beneficial owners who are PRC entities, and we cannot provide any assurance that all of our shareholders and beneficial owners who are PRC entities will comply with our request to complete the overseas direct investment procedures under the aforementioned regulations or other related rules in a timely manner, or at all. If they fail to complete the filings or registrations required by the overseas direct investment regulations, the authorities may order them to suspend or cease the implementation of such investment and make corrections within a specified time, which may adversely affect our business, financial condition and results of operations.</w:t>
      </w:r>
    </w:p>
    <w:p>
      <w:pPr>
        <w:spacing w:after="0" w:line="177" w:lineRule="exact"/>
        <w:rPr>
          <w:sz w:val="20"/>
          <w:szCs w:val="20"/>
          <w:color w:val="auto"/>
        </w:rPr>
      </w:pPr>
    </w:p>
    <w:p>
      <w:pPr>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our plan participants or us to fines and other legal or administrative sanctions.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 PRC citizens who reside in China for a continuous period of not less than one year and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will be subject to these regulations when our company becomes an overseas- listed company upon the completion of this offering. Failure to complete SAFE registrations may subject them to fines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the PRC laws.</w:t>
      </w:r>
    </w:p>
    <w:p>
      <w:pPr>
        <w:spacing w:after="0" w:line="325"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share options and restricted shares. Under these circulars, our employees working in China who exercise share options and/or are granted restricted shares will be subject to PRC individual income tax. Our PRC subsidiaries have obligations to file documents related to employee share options and/or restricted shares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 authorities.</w:t>
      </w:r>
    </w:p>
    <w:p>
      <w:pPr>
        <w:spacing w:after="0" w:line="185"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10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NIP Group Inc. is not an operating company but a Cayman Islands holding company with operations primarily conducted through its wholly-owned subsidiaries in Sweden and China. We rely on dividends and other distributions on equity paid by our WFOE for our cash and financing requirements, including the funds necessary to pay dividends and other cash distributions to our shareholders and service any debt we may incur. To the extent our cash or assets in the business are in mainland China or Hong Kong or a mainland China or Hong Kong entity, the funds or assets may not be available to fund operations or for other use outside of mainland China or Hong Kong due to the imposition of restrictions and limitations on, the ability of NIP Group Inc. or its subsidiaries to transfer cash or assets. Current PRC regulations permit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WFOE to pay dividends to us only out of their accumulated after-tax profits upon satisfaction of relevant statutory conditions and procedures, if any, determined in accordance with Chinese accounting standards and regulations. In addition, our WFOE is required to set aside at least 10% of its accumulated profits each year, after making up previous years’ accumulated losses, if any, to fund certain reserve funds until the total amount set aside reaches 50% of its registered capital. As a result of these laws, rules and regulations, our WFOE is restricted in their ability to transfer a portion of their respective net assets to their shareholders as dividends.</w:t>
      </w:r>
    </w:p>
    <w:p>
      <w:pPr>
        <w:spacing w:after="0" w:line="325"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While there are currently no such restrictions on foreign exchange and our ability to transfer cash or assets between NIP Group Inc. and our Hong Kong subsidiary, we cannot dismiss the possibility that future developments in PRC laws and regulations may impose new restrictions and limitations on our ability to transfer funds or assets. Should such regulations affect our operations, our cash or assets in Hong Kong might become inaccessible. Furthermore, should new restrictions be imposed on NIP Group Inc. or its subsidiaries regarding the transfer or distribution of cash within the organization, we may encounter limitations or prohibition on making transfers or distributions to entities outside of mainlandChina and Hong Kong.</w:t>
      </w:r>
    </w:p>
    <w:p>
      <w:pPr>
        <w:spacing w:after="0" w:line="32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Furthermore, if our WFOE incurs debt on their own behalf in the future, the instruments governing their debt may restrict their ability to pay dividends or make other distributions to us.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Enterprise Income Tax Law enacted by the National People’s Congress, which became effective on January 1, 2008,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 -PRC resident enterprises are tax resident. See “— If we are classified as a PRC resident enterprise for PRC income tax purposes, such classification could result in unfavorable tax consequences to us and our non-PRC shareholders or ADS holders.”</w:t>
      </w:r>
    </w:p>
    <w:p>
      <w:pPr>
        <w:spacing w:after="0" w:line="114" w:lineRule="exact"/>
        <w:rPr>
          <w:sz w:val="20"/>
          <w:szCs w:val="20"/>
          <w:color w:val="auto"/>
        </w:rPr>
      </w:pPr>
    </w:p>
    <w:p>
      <w:pPr>
        <w:ind w:left="1260" w:right="659" w:firstLine="360"/>
        <w:spacing w:after="0" w:line="244" w:lineRule="auto"/>
        <w:rPr>
          <w:sz w:val="20"/>
          <w:szCs w:val="20"/>
          <w:color w:val="auto"/>
        </w:rPr>
      </w:pPr>
      <w:r>
        <w:rPr>
          <w:rFonts w:ascii="Times New Roman" w:cs="Times New Roman" w:eastAsia="Times New Roman" w:hAnsi="Times New Roman"/>
          <w:sz w:val="18"/>
          <w:szCs w:val="18"/>
          <w:color w:val="auto"/>
        </w:rPr>
        <w:t>Any restriction on currency exchange may limit the ability of our WFOE to use their Renminbi revenues to pay dividends to us. The PRC government may continue to strengthen its capital controls and our WFOE’s dividends and other distributions may be subject to tightened scrutiny in the future.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191" w:lineRule="exact"/>
        <w:rPr>
          <w:sz w:val="20"/>
          <w:szCs w:val="20"/>
          <w:color w:val="auto"/>
        </w:rPr>
      </w:pPr>
    </w:p>
    <w:p>
      <w:pPr>
        <w:jc w:val="right"/>
        <w:ind w:left="1260" w:right="639"/>
        <w:spacing w:after="0" w:line="3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may be subject to PRC income tax on dividends from us or on any gain realized on the transfer of our ADSs. </w:t>
      </w:r>
      <w:r>
        <w:rPr>
          <w:rFonts w:ascii="Times New Roman" w:cs="Times New Roman" w:eastAsia="Times New Roman" w:hAnsi="Times New Roman"/>
          <w:sz w:val="18"/>
          <w:szCs w:val="18"/>
          <w:color w:val="auto"/>
        </w:rPr>
        <w:t>Under the Enterprise Income Tax Law and its implementation rules, PRC withholding tax at a rate of</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10% is generally applicable to dividends from PRC sources paid to investors that are resident enterprises outside of China and that do not have an establishment or place of business in China, or that have an establishment or place of business in China if the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331" w:lineRule="exact"/>
        <w:rPr>
          <w:sz w:val="20"/>
          <w:szCs w:val="20"/>
          <w:color w:val="auto"/>
        </w:rPr>
      </w:pPr>
    </w:p>
    <w:p>
      <w:pPr>
        <w:jc w:val="both"/>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Although a large portion of our business operations are in China, it is unclear whether the dividends NIP Group Inc. pays with respect to the shares or ADSs of NIP Group Inc., or the gains realized from the transfer of the shares or ADSs of NIP Group Inc., would be treated as income derived from sources within China and as a result be subject to PRC income tax if we are considered a PRC resident enterprise. If PRC income tax is imposed on gains realized through the transfer of the ADSs of NIP Group Inc. or on</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dividends paid to our non-resident investors, the value of your investment in the ADSs of NIP Group Inc. may be materially and adversely affected. Furthermore, NIP Group Inc.’s shareholders whose jurisdictions of residence have tax treaties or arrangements with China may not qualify for benefits under these tax treaties or arrangements.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pursuant to the Double Tax Avoidance Arrangement between Hong Kong and China, if a Hong Kong resident enterprise owns more than 25% of the equity interest of a PRC company at all times during the twelve-month period immediately prior to obtaining a dividend from such company, the 10% withholding tax on the dividend is reduced to 5%, provided that certain other conditions and requirements are satisfied at the discretion of the PRC tax authority. However, based on the Notice on Certain Issues with Respect to the Enforcement of Dividend Provisions in Tax Treaties, issued in 2009 by the State Administration of Taxation, if the PRC tax authorities determine, in their discretion, that a company benefits from the reduced income tax rate due to a structure or arrangement that is primarily tax- driven, the PRC tax authorities may adjust the preferential tax treatment. If our Hong Kong subsidiary is determined by PRC government authorities as receiving benefits from reduced income tax rates due to a structure or arrangement that is primarily tax-driven, the dividends paid by our PRC subsidiary to our Hong Kong subsidiary will be taxed at a higher rate, which will have a material adverse effect on our financial performance.</w:t>
      </w:r>
    </w:p>
    <w:p>
      <w:pPr>
        <w:spacing w:after="0" w:line="200" w:lineRule="exact"/>
        <w:rPr>
          <w:sz w:val="20"/>
          <w:szCs w:val="20"/>
          <w:color w:val="auto"/>
        </w:rPr>
      </w:pPr>
    </w:p>
    <w:p>
      <w:pPr>
        <w:spacing w:after="0" w:line="207"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PRC subsidiary in China, which could materially and adversely affect our liquidity and our ability to fund and expand our business.</w:t>
      </w:r>
    </w:p>
    <w:p>
      <w:pPr>
        <w:spacing w:after="0" w:line="107"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NIP Group Inc. is an offshore holding company conducting its operations in China through our PRC subsidiaries. NIP Group Inc. may make loans to our PRC subsidiaries, it may make additional capital contributions to our PRC subsidiary, it may establish new PRC subsidiaries and make capital contributions to these new PRC subsidiaries, or it may acquire offshore entities with business operations in China in an offshore transaction.</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Most of these ways are subject to PRC regulations and approvals or registration. For example, loans by us to our wholly-owned PRC subsidiaries to finance their activities cannot exceed statutory limits and must be registered with the local counterpart of SAFE. If we decide to finance our wholly-owned PRC subsidiary by means of capital contributions, these capital contributions are subject to registration with the State Administration for Market Regulation (the “SAMR”) or its local branch, reporting of foreign investment information with the PRC Ministry of Commerce, or registration with other governmental authorities in China. Due to the restrictions imposed on loans in foreign currencies extended to PRC domestic companies, we are not likely to make such loans to our PRC domestic subsidiaries. Further, we are not likely to finance the activities of our PRC domestic subsidiaries by means of capital contributions due to regulatory restrictions relating to foreign investment in PRC domestic enterprises engaged in certain businesses.</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 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 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 -invested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subsidiary, which may adversely affect our liquidity and our ability to fund and expand our business in China. On October 25, 2019, SAFE promulgated the Notice for Further Advancing the Facilitation of Cross-border Trade and Investment, or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However, since SAFE Circular 28 is newly promulgated, it is unclear how SAFE and competent banks will carry this out in practice.</w:t>
      </w:r>
    </w:p>
    <w:p>
      <w:pPr>
        <w:spacing w:after="0" w:line="32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light of the various requirements imposed by the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future capital contributions by us to our PRC subsidiaries. As a result, uncertainties exist as to our ability to provide prompt financial support to our PRC subsidiaries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197"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income effectively and affect the value of your investment.</w:t>
      </w:r>
    </w:p>
    <w:p>
      <w:pPr>
        <w:spacing w:after="0" w:line="9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a large portion of our income in Renminbi. Under our current corporate structure, our Cayman Islands holding company may rely on dividend payments from our PRC subsidiary to fund any cash and financing requirements payable outside of China.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cash generated from the operations of our PRC subsidiaries in China may be used to pay dividends to our company without prior approval of SAFE.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any debts they may incur in a currency other than Renminbi owed to entities outside China, or to make other capital expenditure payments outside China in a currency other than Renminbi. In addition, the PRC government may also at its discretion to restrict our access in the future to foreign currencies for current account transactions. If we are prevented from obtaining sufficient foreign currency to satisfy our foreign currency demands, we may not be able to pay dividends in foreign currencies to our shareholders, including holders of the ADSs.</w:t>
      </w:r>
    </w:p>
    <w:p>
      <w:pPr>
        <w:spacing w:after="0" w:line="197" w:lineRule="exact"/>
        <w:rPr>
          <w:sz w:val="20"/>
          <w:szCs w:val="20"/>
          <w:color w:val="auto"/>
        </w:rPr>
      </w:pPr>
    </w:p>
    <w:p>
      <w:pPr>
        <w:ind w:left="1260" w:right="10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China-based companies listed in the United States may negatively impact the trading price of our ADSs.</w:t>
      </w:r>
    </w:p>
    <w:p>
      <w:pPr>
        <w:spacing w:after="0" w:line="90"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We believe that recent litigation and negative publicity surrounding companies with operations in China that are listed in the United States have negatively impacted the stock prices of these companies. Certain politicians in the United States have publicly warned investors to avoid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7" w:lineRule="auto"/>
        <w:rPr>
          <w:sz w:val="20"/>
          <w:szCs w:val="20"/>
          <w:color w:val="auto"/>
        </w:rPr>
      </w:pPr>
      <w:r>
        <w:rPr>
          <w:rFonts w:ascii="Times New Roman" w:cs="Times New Roman" w:eastAsia="Times New Roman" w:hAnsi="Times New Roman"/>
          <w:sz w:val="18"/>
          <w:szCs w:val="18"/>
          <w:color w:val="auto"/>
        </w:rPr>
        <w:t>on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spacing w:after="0" w:line="400" w:lineRule="exact"/>
        <w:rPr>
          <w:sz w:val="20"/>
          <w:szCs w:val="20"/>
          <w:color w:val="auto"/>
        </w:rPr>
      </w:pPr>
    </w:p>
    <w:p>
      <w:pPr>
        <w:ind w:left="1260" w:right="5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11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On December 18, 2020, the HFCAA was signed into law. The HFCAA has since then been subject to amendments by the U.S. Congress and interpretations and rulemaking by the SEC. On June 22, 2021, the U.S. Senate passed the Accelerating Holding Foreign Companies Accountable Act (the “AHFCAA”), which proposes to reduce the period of time for foreign companies to comply with PCAOB audits from three to two consecutive years, thus reducing the time period before the securities of such foreign companies may be prohibited from trading or delisted. On December 29, 2022, the AHFCAA was signed into law.</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December 16, 2021, PCAOB announced the PCAOB HFCAA determinations relating to the PCAOB’s inability to inspect or investigate completely registered public accounting firms headquartered in mainland China and Hong Kong, because of a position taken by one or more authorities in mainland China or Hong Kong. The inability of the PCAOB to conduct inspections of auditors in China made it more difficult to evaluate the effectiveness of these accounting firms’ audit procedures or quality control procedures as compared to auditors outside of China that are subject to the PCAOB inspections, which could cause existing and potential investors in issuers operating in China to lose confidence in such issuers’ procedures and reported financial information and the quality of financial statements.</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Our auditor, Marcum Asia CPAs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our auditor’s compliance with the applicable professional standards. Our auditor is headquartered in Manhattan, New York, and is subject to inspection by the PCAOB on a regular basis with the latest inspection in 2023. As of the date of this prospectus, our auditor is not among the firms listed on the PCAOB Determination List issued in December 2021.</w:t>
      </w:r>
    </w:p>
    <w:p>
      <w:pPr>
        <w:spacing w:after="0" w:line="12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On August 26, 2022, the PCAOB announced and signed a Statement of Protocol (the “Protocol”) with the China Securities Regulatory Commission and the Ministry of Finance of the People’s Republic of China (together, the “PRC Authorities”). The Protocol provides the PCAOB with: (1) sole discretion to select the firms, audit engagements and potential violations it inspects and investigates, without any involvement of Chinese authorities; (2) procedures for PCAOB inspectors and investigators to view complete audit work papers with all information included and for the PCAOB to retain information as needed; (3) direct access to interview and take testimony from all personnel associated with the audits the PCAOB inspects or investigates.</w:t>
      </w:r>
    </w:p>
    <w:p>
      <w:pPr>
        <w:spacing w:after="0" w:line="337"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December 15, 2022, the PCAOB announced in its 2022 HFCAA Determination Report (the “2022 Report”) its determination that the PCAOB was able to secure complete access to inspect and investigate audit firms headquartered in mainland China and Hong Kong in 2022, and the PCAOB Board voted to vacate previous determinations to the contrary. According to the 2022 Report, this determination was reached after the PCAOB had thoroughly tested compliance with every aspect of the Protocol necessary to determine complete access, including on-site inspections and investigations in a manner fully consistent with the PCAOB’s methodology and approach in the U.S. and globally. According to the 2022 Report, the PRC authorities had fully assisted and cooperated with the PCAOB in carrying out the inspections and investigations according to the Protocol, and have agreed to continue to assist the PCAOB’s investigations and inspections in the future. The PCAOB may reassess its determinations and issue new determinations consistent with the HFCAA at any time.</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 developments related to the HFCAA could add uncertainties to our offering. We cannot assure you what further actions the SEC, the PCAOB or the stock exchanges will take to address these issues and what impact such actions will have on U.S. companies that have significant operations in the PRC and have securities listed on a U.S. stock exchange (including a national securities exchange or over-the-counter stock market) . In addition, any additional actions, proceedings, or new rules resulting from these efforts to increase U.S. regulatory access to audit information could create uncertainty for investors, the market price of our ordinary shares could be adversely affected, and we could be delisted if we and our auditor are unable to meet the PCAOB inspection requirement. Such a delisting would substantially impair your ability to sell or purchase our ordinary shares when you wish to do so, and would have a negative impact on the price of our shares and ADSs.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1260" w:right="11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ADSs may not develop and the trading price for our ADSs may fluctuate significantly.</w:t>
      </w:r>
    </w:p>
    <w:p>
      <w:pPr>
        <w:spacing w:after="0" w:line="9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intend to apply to list the ADSs on the Nasdaq Stock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or remain sustainable over time.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is likely to be volatile, which could result in substantial losses to investors.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2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5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5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75" w:lineRule="exact"/>
        <w:rPr>
          <w:sz w:val="20"/>
          <w:szCs w:val="20"/>
          <w:color w:val="auto"/>
        </w:rPr>
      </w:pPr>
    </w:p>
    <w:p>
      <w:pPr>
        <w:ind w:left="126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7"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3"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the ADSs in the public market could cause the price of the ADSs to decline.</w:t>
      </w:r>
    </w:p>
    <w:p>
      <w:pPr>
        <w:spacing w:after="0" w:line="9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Sales of the ADSs in the public market after this offering, or the perception that these sales could occur, could cause the market price of the ADSs to decline. All ADSs sold in this offering will be freely transferable without restriction or additional registration under the Securities Act. The remaining ordinary shares issued and outstanding after this offering will be available for sale, upon the expiration of the [180-day lock-up period beginning from the date of the final prospectus], subject to volume and other restrictions as applicable provided in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1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After completion of this offering, certain holders of our ordinary shares may cause us to register the sale of their shares under the Securities Act, subject to the [180-day lock-up period in connection with this offering]. Registration of these shares under the Securities Act would result in ADSs representing these shares becoming freely tradable without restriction under the Securities Act immediately upon the effectiveness of such registration. Sales of these registered shares in the form of ADSs in the public market could cause the price of our ADSs to decline.</w:t>
      </w:r>
    </w:p>
    <w:p>
      <w:pPr>
        <w:spacing w:after="0" w:line="183"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9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to produce passive income (the “asset test”). For purposes of the asset test, any cash and assets readily convertible into cash are categorized as passive assets, and the company’s goodwill and other unbooked intangibles should be treated as an active asset to the extent associated with activities that produce or intended to produce active income. In determining the average percentage value of our gross assets, the aggregate value of our assets will generally be deemed to be equal to our market capitalization (determined by the sum of the aggregate value of our outstanding equity) plus our liabilities. Based on our historical, current and projected income and assets, including the expected cash proceeds from this offering, and projections as to the value of our assets, taking into account the projected market value of our ADSs following this offering, we do not expect to be a PFIC for the current taxable year. However, no assurance can be given in this regard because the determination of whether we will be or become a PFIC for any taxable year is a fact intensive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determination made annually after the close of each taxable year that depends, in part, upon the composition and classification of our income and assets.</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we were treated as a PFIC for any taxable year, then U.S. investors could be subject to adverse U.S. federal income tax consequences (regardless of whether we continue to be a PFIC), including increased tax liability on disposition gains and certain “excess distributions” and additional reporting requirements. See “Taxation — United States Federal Income Tax Considerations — Passive Foreign Investment Company Rules” for further information. U.S. investors should consult their tax advisers regarding our PFIC status for any taxable year and the potential application of the PFIC rules to an investment in our ADSs or ordinary shares including the availability and the advisability of making certain elections under the PFIC rules.</w:t>
      </w:r>
    </w:p>
    <w:p>
      <w:pPr>
        <w:spacing w:after="0" w:line="177"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9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among other things, our memorandum and articles of association, the Companies Act (as revised) of the Cayman Islands (the “Companies Act”)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spacing w:after="0" w:line="10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the Cayman Islands laws to inspect corporate records (other than the memorandum and articles of association and any special resolutions passed by such companies, and the registers of mortgages and charges of such companies) or to obtain copies of lists of shareholders of these companies. Under Cayman Islands law, the names of our current directors (without any other information on their directorships) can be obtained from a search conducted at the Registrar of Companies.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326"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We may in the future rely on home country practice with respect to our corporate governance after we complete this offering. If we choose to follow home country practice in the future, our shareholders may be afforded less protection than they otherwise would under rules and regulations applicable to U.S. domestic issuers.</w:t>
      </w:r>
    </w:p>
    <w:p>
      <w:pPr>
        <w:spacing w:after="0" w:line="32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 —  Differences in Corporate Law.”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and substantially all of our assets are located outside of the United States. A large portion of our current operations are conducted through our PRC subsidiaries 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China. In addition, Mr. Mario Yau Kwan Ho is a Hong Kong resident, while Mr. Liwei Sun, Mr. Heng Tang, Ms. Yanjun Xu, Mr. Zhang Lei, Mr. Zhiyong Li, Mr. Heng Zhang, Mr. Hang Sui, and Mr. Haoming Yu reside in mainland China. Except for Mr. Carter Jack Feldman, one of our independent director, the rest of our current directors and officers listed in “Management” are also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China and Sweden may render you unable to enforce a judgment against our assets or the assets of our directors and officers. For more information regarding the relevant laws of the Cayman Islands, China and Sweden, see “Enforceability of Civil Liabilities.”</w:t>
      </w:r>
    </w:p>
    <w:p>
      <w:pPr>
        <w:spacing w:after="0" w:line="179"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90"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274" w:lineRule="exact"/>
        <w:rPr>
          <w:sz w:val="20"/>
          <w:szCs w:val="20"/>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4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face securities class action lawsuits.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Class actions are not recognized in the Cayman Islands, but groups of shareholders with identical interests may bring representative proceedings, which are similar. However, a class action suit could nonetheless be brought in a U.S. court pursuant to an alleged violation of U.S. securities laws and regulations. 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public.</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After consummation of this offering, we expect to incur significant legal, accounting and other expenses that we would not incur as a private company. The Sarbanes-Oxley Act of 2002, as well as rules subsequently implemented by the SEC and the Nasdaq Stock Market, impose various requirements on the corporate governance practices of public companies. As a company with less than US$1.235 billion in revenues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6" w:lineRule="auto"/>
        <w:rPr>
          <w:sz w:val="20"/>
          <w:szCs w:val="20"/>
          <w:color w:val="auto"/>
        </w:rPr>
      </w:pPr>
      <w:r>
        <w:rPr>
          <w:rFonts w:ascii="Times New Roman" w:cs="Times New Roman" w:eastAsia="Times New Roman" w:hAnsi="Times New Roman"/>
          <w:sz w:val="18"/>
          <w:szCs w:val="18"/>
          <w:color w:val="auto"/>
        </w:rPr>
        <w:t>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corporate activities more time-consuming and costly. After we become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in the United States, we need to increase the number of independent directors and adopt policies regarding internal controls and disclosure controls and procedures. We also expect that operating as a public company in the United States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93"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13"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Nasdaq Stock Market,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0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are permitted to elect to rely on home country practice to be exempted from the corporate governance requirements. If we choose to follow home country practices in the future, our shareholders may be afforded less protection than they would otherwise enjoy under the Nasdaq corporate governance listing standards applicable to U.S. domestic issuers.</w:t>
      </w:r>
    </w:p>
    <w:p>
      <w:pPr>
        <w:spacing w:after="0" w:line="176"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appreciate in value after this offering or even maintain the price at which you purchased. You may not realize a return on your investment in our ADSs and you may even lose your entire investment in our ADSs.</w:t>
      </w:r>
    </w:p>
    <w:p>
      <w:pPr>
        <w:spacing w:after="0" w:line="144"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you purchase the ADSs in this offering, you will pay more on the underlying ordinary shares than the amount paid by our existing shareholders for their ordinary shares on a per share basis. As a result, you will experience immediate and substantial dilution, representing the difference between the initial public offering price of per underlying ordinary share, and our adjusted net tangible book value per ordinary share, after giving effect to our sale of the ADSs and the underlying ordinary shares offered in this offering. In addition, you may experience further dilution to the extent that our underlying ordinary shares are issued upon the exercise of share options. See “Dilution” for a more complete description of how the value of your investment in the underlying ordinary shares will be diluted upon completion of this offering.</w:t>
      </w:r>
    </w:p>
    <w:p>
      <w:pPr>
        <w:spacing w:after="0" w:line="175"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Our management has discretion over the use of proceeds we receive from this offering, and we could spend the proceeds we receive from this offering in ways that do not yield a favorable return, or no return at all. Our actual use of these proceeds may differ substantially from our plans, if any, in the future. We cannot assure you that the net proceeds will be used in a manner that would improve our results of operations or increase our share price, nor that these net proceeds will be placed only in investments that generate income or appreciate in value.</w:t>
      </w:r>
    </w:p>
    <w:p>
      <w:pPr>
        <w:spacing w:after="0" w:line="195"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the underlying ordinary shares.</w:t>
      </w:r>
    </w:p>
    <w:p>
      <w:pPr>
        <w:spacing w:after="0" w:line="9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in this prospectus and in the deposit agreement, holders of our ADSs are not able to exercise voting rights attaching to the ordinary shares evidenced by our ADSs on an individual basis.</w:t>
      </w:r>
    </w:p>
    <w:p>
      <w:pPr>
        <w:spacing w:after="0" w:line="9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Holders of our ADSs will appoint the depositary or its nominee as their representative to exercise the voting rights attaching to the underlying ordinary shares represented by the ADSs. Otherwise, you will not be able to exercise your right to vote unless you withdraw the underlying ordinary shares represented by the ADSs. However, you may not know of the meeting sufficiently in advance to withdraw the ordinary shares. If we ask for instructions from ADS holders, the depositary will notify you of the upcoming vote and arrange to deliver our voting materials to you. We cannot assure you that you will receive voting materials in time to instruct the depositary to vote, and it is possible that you, including persons who hold their ADSs through brokers, dealers or other third parties, will not have the opportunity to exercise a right to vote. The deposit agreement provides that if the depositary does not timely receive valid voting instructions from the ADS holders, then the depositary will, with certain limited exceptions, give a discretionary proxy to a person designated by us to vote such shares.</w:t>
      </w:r>
    </w:p>
    <w:p>
      <w:pPr>
        <w:spacing w:after="0" w:line="32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 Furthermore, as a Cayman Islands exempted company, we are not obliged by the Companies Act (As Revised) of the Cayman Islands to call shareholders’ annual general meetings, and in your capacity as an ADS holder, you will not have any rights to call or requisition a shareholders’ meeting.</w:t>
      </w:r>
    </w:p>
    <w:p>
      <w:pPr>
        <w:spacing w:after="0" w:line="176"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7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As a company with less than US$ 1.235 billion in revenues for our last fiscal year, we qualify as an “emerging growth company” pursuant to the JOBS Act. Therefore, we have elected to take advantage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6" w:lineRule="auto"/>
        <w:rPr>
          <w:sz w:val="20"/>
          <w:szCs w:val="20"/>
          <w:color w:val="auto"/>
        </w:rPr>
      </w:pPr>
      <w:r>
        <w:rPr>
          <w:rFonts w:ascii="Times New Roman" w:cs="Times New Roman" w:eastAsia="Times New Roman" w:hAnsi="Times New Roman"/>
          <w:sz w:val="18"/>
          <w:szCs w:val="18"/>
          <w:color w:val="auto"/>
        </w:rPr>
        <w:t>specified reduced reporting and other requirements that are otherwise applicable generally to public companies and acknowledge such election is irrevocable pursuant to Section 107 of the JOBS Act.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able to take advantage of these exemptions or the extended transition period for complying with new or revised accounting standards.</w:t>
      </w:r>
    </w:p>
    <w:p>
      <w:pPr>
        <w:spacing w:after="0" w:line="197" w:lineRule="exact"/>
        <w:rPr>
          <w:sz w:val="20"/>
          <w:szCs w:val="20"/>
          <w:color w:val="auto"/>
        </w:rPr>
      </w:pPr>
    </w:p>
    <w:p>
      <w:pPr>
        <w:jc w:val="both"/>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ordinary shares underlying your ADSs if you do not timely provide voting instructions to the depositary in accordance with the deposit agreement, except in limited circumstances, which could adversely affect your interests.</w:t>
      </w:r>
    </w:p>
    <w:p>
      <w:pPr>
        <w:spacing w:after="0" w:line="10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the deposit agreement for our ADSs, the depositary will give us (or our nominee) a discretionary proxy to vote the underlying ordinary shares represented by the ADSs at shareholders’ meetings if the holders of ADSs do not give voting instructions to the depositary as to how to vote the underlying ordinary shares represented by their ADSs at a meeting and as to a matter, if:</w:t>
      </w:r>
    </w:p>
    <w:p>
      <w:pPr>
        <w:spacing w:after="0" w:line="69"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gave the depositary timely notice of the meeting and related voting materials;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to the depositary that we wish a discretionary proxy to be given;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to the depositary that we reasonably do not know of any substantial opposition as to a matter to be voted on at the meeting; and</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confirmed to the depositary that the matter voted will not have material adverse impact on shareholders.</w:t>
      </w:r>
    </w:p>
    <w:p>
      <w:pPr>
        <w:spacing w:after="0" w:line="9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effect of this discretionary proxy is that, if the holders of ADSs fail to give voting instructions to the depositary as to how to vote the underlying ordinary shares represented by their ADSs at any particular shareholders’ meeting, they cannot prevent such underlying ordinary shares represented by their ADSs from being voted at that meeting, provided the other conditions described above are satisfied, and it may make it more difficult for shareholders to influence our management. Holders of our ordinary shares are not subject to this discretionary proxy.</w:t>
      </w:r>
    </w:p>
    <w:p>
      <w:pPr>
        <w:spacing w:after="0" w:line="176"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0" w:lineRule="exact"/>
        <w:rPr>
          <w:sz w:val="20"/>
          <w:szCs w:val="20"/>
          <w:color w:val="auto"/>
        </w:rPr>
      </w:pPr>
    </w:p>
    <w:p>
      <w:pPr>
        <w:jc w:val="both"/>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 -dispute jury trial waiver provision is generally enforceable, including under the laws of the State of New York, which govern the deposit agreement, by a federal or state court in the City of New York, which has nonexclusive jurisdiction</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holders of ADSs consult legal counsel regarding the jury waiver provision before entering into the deposit agreement.</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any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32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94"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9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depositary has agreed to pay to ADS holders the cash dividends or other distributions it or the custodian receives on our ordinary shares or other deposited securities underlying our ADSs, after deducting its fees and expenses. ADS holders will receive these distributions in proportion to the number of ordinary shares the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ADS holders may not receive distributions we make on our ordinary shares or any value for them if it is illegal or impractical for us to make them available to them. These restrictions may cause a material decline in the value of our ADSs.</w:t>
      </w:r>
    </w:p>
    <w:p>
      <w:pPr>
        <w:spacing w:after="0" w:line="200" w:lineRule="exact"/>
        <w:rPr>
          <w:sz w:val="20"/>
          <w:szCs w:val="20"/>
          <w:color w:val="auto"/>
        </w:rPr>
      </w:pPr>
    </w:p>
    <w:p>
      <w:pPr>
        <w:spacing w:after="0" w:line="207" w:lineRule="exact"/>
        <w:rPr>
          <w:sz w:val="20"/>
          <w:szCs w:val="20"/>
          <w:color w:val="auto"/>
        </w:rPr>
      </w:pPr>
    </w:p>
    <w:p>
      <w:pPr>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ordinary shares and the ADSs.</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will adopt an eighth amended and restated memorandum and articles of association that will become effective immediately prior to the completion of this offering, which we refer to as the post-offering 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of management more difficult. If our board of directors decides to issue preferred shares, the price of the ADSs may fall and the voting and other rights of the holders of our ordinary shares and ADSs may be materially and adversely affected.]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we indicate that we wish such rights to be made available to holders of ADSs and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OOKING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17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esports industry in China;</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prospects of our business model and the demand for and market acceptance of our products and services;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maintaining and strengthening our relationships with game developers and publishers, esports viewers, esports athletes, brands and sponsors, online entertainers, live streaming and other distribution platforms as well as other stakeholders;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 from this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regions where we operate, and globally;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 Our Strategies,”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17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            , or approximately US$            if the underwriters exercise their option to purchase additional ADSs in full, after deducting underwriting discounts and commissions and the estimated offering expenses payable by us. These estimates are based upon an assumed initial public offering price of US$            per ADS, which is the midpoint of the price range shown on the front page of this prospectus. A US$1.00 increase (decrease) in the assumed initial public offering price of US$            per ADS would increase (decrease) the net proceeds to us from this offering by US$            , assuming the number of ADSs offered by us, as set forth on the front cover of this prospectus, remains the same and after deducting the estimated underwriting discounts and commissions and estimated expenses payable by us.</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68" w:lineRule="exact"/>
        <w:rPr>
          <w:sz w:val="20"/>
          <w:szCs w:val="20"/>
          <w:color w:val="auto"/>
        </w:rPr>
      </w:pPr>
    </w:p>
    <w:p>
      <w:pPr>
        <w:ind w:left="1800" w:right="13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for expanding the presence of our esports teams and our talent management and event production capabilities;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for the marketing and growth of our fan base, potential strategic acquisition and investment opportunities, including marketing and promotional campaigns and events to enhance our brand gravity, grow our fan base and enhance fan engagement;</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for potential strategic acquisition and investment opportunities to supplement our organic growth;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for working capital and other general corporate purposes.</w:t>
      </w:r>
    </w:p>
    <w:p>
      <w:pPr>
        <w:spacing w:after="0" w:line="14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Our ADSs and This Offering — We have not determined a specific use for a portion of the net proceeds from this offering and we may use these proceeds in ways with which you may not agree.”</w:t>
      </w:r>
    </w:p>
    <w:p>
      <w:pPr>
        <w:spacing w:after="0" w:line="33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Pending any use described above, we plan to invest the net proceeds in short-term, interest-bearing, debt instruments or demand deposits.</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using the proceeds of this offering, we are permitted under PRC laws and regulations as an offshore holding company to provide funding to our PRC subsidiaries only through loans or capital contributions, subject to satisfaction of applicable government registration and approval requirements. We cannot assure you that we will be able to obtain these government registrations or approvals on a timely basis, or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or additional capital contributions to our PRC subsidiary in China, which could materially and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7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95"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subsidiary to pay dividends to us.</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ordinary shares represented by the ADSs to the depositary, as the registered holder of such ordinary shares, and the depositary then will pay such amounts to the ADS holders in proportion to the underlying ordinary shares represented by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APITALIZATION</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17"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5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as adjusted basis to reflect the issuance and sale of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the underwriters do not exercise their option to purchase additional ADSs.</w:t>
      </w:r>
    </w:p>
    <w:p>
      <w:pPr>
        <w:spacing w:after="0" w:line="12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ectPr>
          <w:pgSz w:w="11900" w:h="16838" w:orient="portrait"/>
          <w:cols w:equalWidth="0" w:num="1">
            <w:col w:w="9879"/>
          </w:cols>
          <w:pgMar w:left="580" w:top="97" w:right="1440" w:bottom="1440" w:gutter="0" w:footer="0" w:header="0"/>
        </w:sectPr>
      </w:pP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Short-term borrowings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borrowings,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borrowings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574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574675"/>
                    </a:xfrm>
                    <a:prstGeom prst="rect">
                      <a:avLst/>
                    </a:prstGeom>
                    <a:noFill/>
                  </pic:spPr>
                </pic:pic>
              </a:graphicData>
            </a:graphic>
          </wp:anchor>
        </w:drawing>
      </w:r>
    </w:p>
    <w:p>
      <w:pPr>
        <w:spacing w:after="0" w:line="20" w:lineRule="exact"/>
        <w:rPr>
          <w:sz w:val="20"/>
          <w:szCs w:val="20"/>
          <w:color w:val="auto"/>
        </w:rPr>
      </w:pPr>
    </w:p>
    <w:p>
      <w:pPr>
        <w:ind w:left="1440" w:hanging="179"/>
        <w:spacing w:after="0" w:line="261" w:lineRule="auto"/>
        <w:rPr>
          <w:sz w:val="20"/>
          <w:szCs w:val="20"/>
          <w:color w:val="auto"/>
        </w:rPr>
      </w:pPr>
      <w:r>
        <w:rPr>
          <w:rFonts w:ascii="Times New Roman" w:cs="Times New Roman" w:eastAsia="Times New Roman" w:hAnsi="Times New Roman"/>
          <w:sz w:val="18"/>
          <w:szCs w:val="18"/>
          <w:color w:val="auto"/>
        </w:rPr>
        <w:t>Class A redeemable preferred shares (US$0.0001 par value; 24,709,527 shares authorized as of December 31, 2023, and 24,709,527 shares issued and outstanding as of December 31, 2023)</w:t>
      </w:r>
    </w:p>
    <w:p>
      <w:pPr>
        <w:spacing w:after="0" w:line="4" w:lineRule="exact"/>
        <w:rPr>
          <w:sz w:val="20"/>
          <w:szCs w:val="20"/>
          <w:color w:val="auto"/>
        </w:rPr>
      </w:pPr>
    </w:p>
    <w:p>
      <w:pPr>
        <w:ind w:left="1440" w:right="100" w:hanging="179"/>
        <w:spacing w:after="0" w:line="261" w:lineRule="auto"/>
        <w:rPr>
          <w:sz w:val="20"/>
          <w:szCs w:val="20"/>
          <w:color w:val="auto"/>
        </w:rPr>
      </w:pPr>
      <w:r>
        <w:rPr>
          <w:rFonts w:ascii="Times New Roman" w:cs="Times New Roman" w:eastAsia="Times New Roman" w:hAnsi="Times New Roman"/>
          <w:sz w:val="18"/>
          <w:szCs w:val="18"/>
          <w:color w:val="auto"/>
        </w:rPr>
        <w:t>Class B redeemable preferred shares (US$0.0001 par value; 2,693,877 shares authorized as of December 31, 2023, and 2,693,877 shares issued and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574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574675"/>
                    </a:xfrm>
                    <a:prstGeom prst="rect">
                      <a:avLst/>
                    </a:prstGeom>
                    <a:noFill/>
                  </pic:spPr>
                </pic:pic>
              </a:graphicData>
            </a:graphic>
          </wp:anchor>
        </w:drawing>
      </w:r>
    </w:p>
    <w:p>
      <w:pPr>
        <w:ind w:left="1440" w:hanging="179"/>
        <w:spacing w:after="0" w:line="261" w:lineRule="auto"/>
        <w:rPr>
          <w:sz w:val="20"/>
          <w:szCs w:val="20"/>
          <w:color w:val="auto"/>
        </w:rPr>
      </w:pPr>
      <w:r>
        <w:rPr>
          <w:rFonts w:ascii="Times New Roman" w:cs="Times New Roman" w:eastAsia="Times New Roman" w:hAnsi="Times New Roman"/>
          <w:sz w:val="18"/>
          <w:szCs w:val="18"/>
          <w:color w:val="auto"/>
        </w:rPr>
        <w:t>Class B-1 redeemable preferred shares (US$0.0001 par value; 43,044,524 shares authorized as of December 31, 2023, and 43,044,524 shares issued and outstanding as of December 31, 2023)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34" w:lineRule="exact"/>
        <w:rPr>
          <w:sz w:val="20"/>
          <w:szCs w:val="20"/>
          <w:color w:val="auto"/>
        </w:rPr>
      </w:pPr>
    </w:p>
    <w:p>
      <w:pPr>
        <w:ind w:left="1440" w:right="140" w:hanging="179"/>
        <w:spacing w:after="0" w:line="266" w:lineRule="auto"/>
        <w:rPr>
          <w:sz w:val="20"/>
          <w:szCs w:val="20"/>
          <w:color w:val="auto"/>
        </w:rPr>
      </w:pPr>
      <w:r>
        <w:rPr>
          <w:rFonts w:ascii="Times New Roman" w:cs="Times New Roman" w:eastAsia="Times New Roman" w:hAnsi="Times New Roman"/>
          <w:sz w:val="18"/>
          <w:szCs w:val="18"/>
          <w:color w:val="auto"/>
        </w:rPr>
        <w:t>Ordinary shares (US$0.0001 par value; 429,552,072 shares authorized as of December 31, 2023, and 37,163,379 shares issued and outstanding as of December 31, 2023)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23"/>
          <w:szCs w:val="23"/>
          <w:color w:val="auto"/>
          <w:vertAlign w:val="superscript"/>
        </w:rPr>
        <w:t>(2)</w:t>
      </w:r>
    </w:p>
    <w:p>
      <w:pPr>
        <w:spacing w:after="0" w:line="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Statutory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bottom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Adjusted</w:t>
            </w:r>
            <w:r>
              <w:rPr>
                <w:rFonts w:ascii="Times New Roman" w:cs="Times New Roman" w:eastAsia="Times New Roman" w:hAnsi="Times New Roman"/>
                <w:sz w:val="17"/>
                <w:szCs w:val="17"/>
                <w:b w:val="1"/>
                <w:bCs w:val="1"/>
                <w:color w:val="auto"/>
                <w:w w:val="96"/>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5"/>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gridSpan w:val="7"/>
          </w:tcPr>
          <w:p>
            <w:pPr>
              <w:ind w:left="20"/>
              <w:spacing w:after="0" w:line="255" w:lineRule="exact"/>
              <w:rPr>
                <w:sz w:val="20"/>
                <w:szCs w:val="20"/>
                <w:color w:val="auto"/>
              </w:rPr>
            </w:pPr>
            <w:r>
              <w:rPr>
                <w:rFonts w:ascii="Times New Roman" w:cs="Times New Roman" w:eastAsia="Times New Roman" w:hAnsi="Times New Roman"/>
                <w:sz w:val="14"/>
                <w:szCs w:val="14"/>
                <w:b w:val="1"/>
                <w:bCs w:val="1"/>
                <w:color w:val="auto"/>
                <w:w w:val="98"/>
              </w:rPr>
              <w:t>(in thousands, except for share and per share data)</w:t>
            </w:r>
            <w:r>
              <w:rPr>
                <w:rFonts w:ascii="Times New Roman" w:cs="Times New Roman" w:eastAsia="Times New Roman" w:hAnsi="Times New Roman"/>
                <w:sz w:val="28"/>
                <w:szCs w:val="28"/>
                <w:b w:val="1"/>
                <w:bCs w:val="1"/>
                <w:color w:val="auto"/>
                <w:w w:val="98"/>
                <w:vertAlign w:val="subscript"/>
              </w:rPr>
              <w:t>​</w:t>
            </w:r>
          </w:p>
        </w:tc>
      </w:tr>
      <w:tr>
        <w:trPr>
          <w:trHeight w:val="231"/>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0"/>
                <w:szCs w:val="20"/>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5,324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3,713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878"/>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114,893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905"/>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16,767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190,882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5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9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75"/>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(80,301)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6080" w:space="180"/>
            <w:col w:w="36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As of December 31, 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bottom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6"/>
              </w:rPr>
              <w:t>As Adjusted</w:t>
            </w:r>
            <w:r>
              <w:rPr>
                <w:rFonts w:ascii="Times New Roman" w:cs="Times New Roman" w:eastAsia="Times New Roman" w:hAnsi="Times New Roman"/>
                <w:sz w:val="17"/>
                <w:szCs w:val="17"/>
                <w:b w:val="1"/>
                <w:bCs w:val="1"/>
                <w:color w:val="auto"/>
                <w:w w:val="96"/>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4"/>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for share and per share</w:t>
            </w:r>
          </w:p>
        </w:tc>
        <w:tc>
          <w:tcPr>
            <w:tcW w:w="60" w:type="dxa"/>
            <w:vAlign w:val="bottom"/>
          </w:tcPr>
          <w:p>
            <w:pPr>
              <w:spacing w:after="0"/>
              <w:rPr>
                <w:sz w:val="15"/>
                <w:szCs w:val="15"/>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2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5,426</w:t>
            </w:r>
          </w:p>
        </w:tc>
        <w:tc>
          <w:tcPr>
            <w:tcW w:w="6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5,000</w:t>
            </w: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r>
              <w:rPr>
                <w:rFonts w:ascii="Times New Roman" w:cs="Times New Roman" w:eastAsia="Times New Roman" w:hAnsi="Times New Roman"/>
                <w:sz w:val="23"/>
                <w:szCs w:val="23"/>
                <w:b w:val="1"/>
                <w:bCs w:val="1"/>
                <w:color w:val="auto"/>
                <w:vertAlign w:val="superscript"/>
              </w:rPr>
              <w:t>(2)</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​(69,803)</w:t>
            </w:r>
          </w:p>
        </w:tc>
        <w:tc>
          <w:tcPr>
            <w:tcW w:w="6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3"/>
                <w:szCs w:val="23"/>
                <w:b w:val="1"/>
                <w:bCs w:val="1"/>
                <w:color w:val="auto"/>
                <w:vertAlign w:val="superscript"/>
              </w:rPr>
              <w:t>(2)</w:t>
            </w:r>
          </w:p>
        </w:tc>
        <w:tc>
          <w:tcPr>
            <w:tcW w:w="9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​262,058</w:t>
            </w: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1234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0" w:lineRule="exact"/>
        <w:rPr>
          <w:sz w:val="20"/>
          <w:szCs w:val="20"/>
          <w:color w:val="auto"/>
        </w:rPr>
      </w:pPr>
    </w:p>
    <w:p>
      <w:pPr>
        <w:ind w:left="1620" w:right="579" w:hanging="360"/>
        <w:spacing w:after="0" w:line="287" w:lineRule="auto"/>
        <w:tabs>
          <w:tab w:leader="none" w:pos="1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 adjusted information discussed above is illustrative only. Our additional paid-in capital, accumulative deficit, accumulative other comprehensive income, total shareholder’s deficit and total capitalization following the completion of this offering are subject to adjustment based on the actual initial public offering price and other terms of this offering determined at pricing.</w:t>
      </w:r>
    </w:p>
    <w:p>
      <w:pPr>
        <w:spacing w:after="0" w:line="21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capitalization equals the sum of borrowings, mezzanine equity and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ILUTION</w:t>
      </w:r>
    </w:p>
    <w:p>
      <w:pPr>
        <w:spacing w:after="0" w:line="175" w:lineRule="exact"/>
        <w:rPr>
          <w:sz w:val="20"/>
          <w:szCs w:val="20"/>
          <w:color w:val="auto"/>
        </w:rPr>
      </w:pPr>
    </w:p>
    <w:p>
      <w:pPr>
        <w:ind w:left="1260" w:right="419" w:firstLine="360"/>
        <w:spacing w:after="0" w:line="272"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33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negative US$22.6 million, or negative US$0.61 per ordinary share as of that date and US 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09"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Without taking into account any other changes in pro forma net tangible book value after December 31, 2023, other than to give effect to our sale of the ADSs offered in this offering at the assumed initial public offering price of US$            per ADS, which is the midpoint of the estimated initial public offering price range, after deduction of the underwriting discounts and commissions and estimated offering expenses payable by us, our pro forma as adjusted net tangible book value as of December 31, 2023 would have been US$            , or US$            per ordinary share and US$            per ADS. This represents an immediate increase in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w:t>
            </w:r>
          </w:p>
        </w:tc>
        <w:tc>
          <w:tcPr>
            <w:tcW w:w="9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ADS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US$       </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US$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December 31, 2023</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US$(0.61)</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after giving effect to the conversion of our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US$</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US$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after giving effect to the conversion</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our preferred shares and this offering</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US$</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dilution in net tangible book value to new investors in this offering</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US$</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US$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-1105535</wp:posOffset>
            </wp:positionV>
            <wp:extent cx="47574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12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            per ADS would increase (decrease) our pro forma as adjusted net tangible book value after giving effect to this offering by US$            , the pro forma as adjusted net tangible book value per ordinary share and per ADS after giving effect to this offering by US$            per ordinary share and US$            per ADS, and the dilution in pro forma as adjusted net tangible book value per ordinary share and per ADS to new investors in this offering by US$            per ordinary share and US$            per ADS, assuming no change to the number of ADSs offered by us as set forth on the front cover of this prospectus, and after deducting underwriting discounts and commissions and estimated offering expenses payable by us.</w:t>
      </w:r>
    </w:p>
    <w:p>
      <w:pPr>
        <w:spacing w:after="0" w:line="10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31, 2023,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300" w:type="dxa"/>
            <w:vAlign w:val="bottom"/>
          </w:tcPr>
          <w:p>
            <w:pPr>
              <w:spacing w:after="0"/>
              <w:rPr>
                <w:sz w:val="7"/>
                <w:szCs w:val="7"/>
                <w:color w:val="auto"/>
              </w:rPr>
            </w:pPr>
          </w:p>
        </w:tc>
        <w:tc>
          <w:tcPr>
            <w:tcW w:w="1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40" w:type="dxa"/>
            <w:vAlign w:val="bottom"/>
            <w:tcBorders>
              <w:bottom w:val="single" w:sz="8" w:color="auto"/>
            </w:tcBorders>
            <w:gridSpan w:val="4"/>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00" w:type="dxa"/>
            <w:vAlign w:val="bottom"/>
            <w:tcBorders>
              <w:bottom w:val="single" w:sz="8" w:color="auto"/>
            </w:tcBorders>
            <w:gridSpan w:val="4"/>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 US$ thousands) </w:t>
            </w:r>
            <w:r>
              <w:rPr>
                <w:rFonts w:ascii="Times New Roman" w:cs="Times New Roman" w:eastAsia="Times New Roman" w:hAnsi="Times New Roman"/>
                <w:sz w:val="24"/>
                <w:szCs w:val="24"/>
                <w:b w:val="1"/>
                <w:bCs w:val="1"/>
                <w:color w:val="auto"/>
                <w:vertAlign w:val="subscript"/>
              </w:rPr>
              <w:t>​</w:t>
            </w:r>
          </w:p>
        </w:tc>
        <w:tc>
          <w:tcPr>
            <w:tcW w:w="6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Existing shareholders</w:t>
            </w:r>
          </w:p>
        </w:tc>
        <w:tc>
          <w:tcPr>
            <w:tcW w:w="5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US$         </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5"/>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140" w:type="dxa"/>
            <w:vAlign w:val="bottom"/>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74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jc w:val="right"/>
              <w:ind w:right="2"/>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New investors</w:t>
            </w:r>
          </w:p>
        </w:tc>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xml:space="preserve">US$               </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86"/>
              </w:rPr>
              <w:t>        %</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xml:space="preserve">US$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xml:space="preserve">US$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jc w:val="right"/>
              <w:ind w:right="2"/>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​100.0%</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2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5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300" w:type="dxa"/>
            <w:vAlign w:val="bottom"/>
            <w:tcBorders>
              <w:right w:val="single" w:sz="8" w:color="CCEEFF"/>
            </w:tcBorders>
            <w:shd w:val="clear" w:color="auto" w:fill="CCEEFF"/>
          </w:tcPr>
          <w:p>
            <w:pPr>
              <w:spacing w:after="0"/>
              <w:rPr>
                <w:sz w:val="6"/>
                <w:szCs w:val="6"/>
                <w:color w:val="auto"/>
              </w:rPr>
            </w:pPr>
          </w:p>
        </w:tc>
        <w:tc>
          <w:tcPr>
            <w:tcW w:w="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-213995</wp:posOffset>
            </wp:positionV>
            <wp:extent cx="16116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-213995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3399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-556895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-556895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3317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-556895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-556895</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95"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discussion and tables above assume no exercise of options outstanding as of the date of this prospectus. As of the date of this prospectus, we do not have any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NFORCEABILITY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IVIL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IABILITIES</w:t>
      </w:r>
    </w:p>
    <w:p>
      <w:pPr>
        <w:spacing w:after="0" w:line="175"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1"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68" w:lineRule="exact"/>
        <w:rPr>
          <w:sz w:val="20"/>
          <w:szCs w:val="20"/>
          <w:color w:val="auto"/>
        </w:rPr>
      </w:pPr>
    </w:p>
    <w:p>
      <w:pPr>
        <w:ind w:left="1800" w:right="69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6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Most of our operations are conducted in Sweden and China, and substantially all of our assets are located in Sweden and China. In addition, except for Mr. Carter Jack Feldman, one of our independent director, the rest of our current directors and officers listed in “Management” are also nationals and residents of countries other than the United States. Substantially all of the assets of these persons are located outside the United States. For example, Mr. Mario Yau Kwan Ho is a Hong Kong resident, while Mr. Liwei Sun, Mr. Heng Tang, Ms. Yanjun Xu, Mr. Zhang Lei, Mr. Zhiyong Li, Mr. Heng Zhang, Mr. Hang Sui, and Mr. Haoming Yu reside in mainland China.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343"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upon whom process may be served in any action brought against us under the securities laws of the United States.</w:t>
      </w:r>
    </w:p>
    <w:p>
      <w:pPr>
        <w:spacing w:after="0" w:line="8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been informed by Carey Olsen Singapore LLP,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Carey Olsen Singapore LLP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provided such judgment (i) is given by a foreign court of competent jurisdiction, (ii) imposes on the judgment debtor a liability to pay a liquidated sum for which the judgment has been given, (iii) is final and conclusive, (iv) is not in respect of taxes, a fine or a penalty, and</w:t>
      </w:r>
    </w:p>
    <w:p>
      <w:pPr>
        <w:spacing w:after="0" w:line="11" w:lineRule="exact"/>
        <w:rPr>
          <w:sz w:val="20"/>
          <w:szCs w:val="20"/>
          <w:color w:val="auto"/>
        </w:rPr>
      </w:pPr>
    </w:p>
    <w:p>
      <w:pPr>
        <w:ind w:left="1260" w:right="499"/>
        <w:spacing w:after="0" w:line="260" w:lineRule="auto"/>
        <w:tabs>
          <w:tab w:leader="none" w:pos="15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in a manner and is not of a kind the enforcement of which is contrary to natural justice or the public policy of the Cayman Islands.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w:t>
      </w:r>
    </w:p>
    <w:p>
      <w:pPr>
        <w:spacing w:after="0" w:line="27"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2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CM Law Firm, our counsel as to PRC law, has advised us that there is uncertainty as to whether the courts of China would:</w:t>
      </w:r>
    </w:p>
    <w:p>
      <w:pPr>
        <w:spacing w:after="0" w:line="54" w:lineRule="exact"/>
        <w:rPr>
          <w:sz w:val="20"/>
          <w:szCs w:val="20"/>
          <w:color w:val="auto"/>
        </w:rPr>
      </w:pPr>
    </w:p>
    <w:p>
      <w:pPr>
        <w:ind w:left="1800" w:right="7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8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8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CM Law Firm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arrangement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been informed by Baker &amp; McKenzie Advokatbyrå KB, our counsel as to Swedish law, that the issue of enforcement and recognition of foreign judgments is exhaustively governed in statutory law and that Swedish courts and judicial agencies may not enforce a foreign judgment without statutory provisions allowing them to. As of the date of this prospectus, judgments of courts in the United States cannot be recognized or enforced in Sweden. This means that the obligations concerned in any such judgments would have to be re-litigated before a Swedish court, which includes the Swedish court ruling on the merits. In such case the judgment from the United States is based on a choice of law agreement, Swedish courts will generally give deference to it, as per Swedish case law. Such deference is contingent on the judgment being the result of proceedings that meet minimum legal certainty and due process requirements.</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Baker &amp; McKenzie Advokatbyrå KB has further informed us that Sweden is a contracting state to, and has incorporated, the Convention of June 30, 2005 on Choice of Court Agreements. The convention allows Swedish courts to recognize and enforce foreign judgments where the foreign court was designated as the proper venue by virtue of a choice of court agreement between the parties and also is a court of another contracting state. In such case the United States, that is a signatory to the aforementioned convention, would ratify it, Swedish courts would recognize and enforce judgments from courts in the United States that have been chosen as proper venue by the parties. The same applies for the Convention of July 2, 2019 on the Recognition and Enforcement of Foreign Judgments in Civil or Commercial Matters, which Sweden has acceded to and adopted through the European Union. Under said convention, money judgments are generally eligible for recognition and enforcement, but with some exceptions such as judgments concerning intellectual property.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ISTORY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June 2016, Mr. Liwei “xiaOt” Sun, our director and president, founded Wuhan Xingjingweiwu Culture &amp; Sports Development Co., Ltd. (formerly known as Shanghai Xingao Culture Communications Co., Ltd.), or Wuhan ESVF, and commenced our esports team operations in China. In December 2018, Shenzhen Weiwu Esports Internet Technology Co., Ltd., or Shenzhen VF, was established by Mr. Mario Yau Kwan Ho, our co-chief executive officer, and was later merged with Wuhan ESVF in March 2021 with Shenzhen VF becoming a wholly-owned subsidiary of Wuhan ESVF.</w:t>
      </w:r>
    </w:p>
    <w:p>
      <w:pPr>
        <w:spacing w:after="0" w:line="12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NIP Group Inc., formerly known as ESVF Esports Group Inc., was incorporated as an exempted company with limited liability in the Cayman Islands as our holding company on February 5, 2021. We changed our name from ESVF Esports Inc. to our current name, NIP Group Inc., in March 2023.</w:t>
      </w:r>
    </w:p>
    <w:p>
      <w:pPr>
        <w:spacing w:after="0" w:line="9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March 2021, we established a wholly-owned subsidiary in Hong Kong, namely, ESVF (Hong Kong) Esports Limited, or Hong Kong ESVF, which is our intermediary holding company in Hong Kong. In</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July 2021, Hong Kong ESVF established a wholly-owned subsidiary, Wuhan Muyecun Network Technology Co., Ltd., or Wuhan Muyecun, as the holding company of our business in China. Wuhan Muyecun then gained control over Wuhan ESVF by entering into a series of contractual arrangements with Wuhan ESVF and its shareholders. We have completed the Restructuring in June 2023, and in connection therewith, our WFOE, Wuhan ESVF and shareholders of Wuhan ESVF entered into a VIE Termination Agreement, pursuant to which, the VIE Agreements were terminated with immediate effect. See “Prospectus Summary — Our Corporate Structure.”</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January 2023, we completed the merger between NIP Group Inc. and Ninjas in Pyjamas Gaming AB, a Swedish public limited liability company incorporated in January 2014 with a brand history of more than 20 years since 2000 in the esports industry. The merger was completed through a series of share swap transactions, with Ninjas in Pyjamas Gaming AB becoming a wholly-owned subsidiary of NIP Group Inc. upon completion of the transactions, marking our global operation under the name of NIP Group Inc.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the names, places of incorporation and the proportion of ownership interests in our significant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88265</wp:posOffset>
            </wp:positionV>
            <wp:extent cx="5092065" cy="2871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92065" cy="28714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519" w:hanging="360"/>
        <w:spacing w:after="0" w:line="322" w:lineRule="auto"/>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Hokage Management Limited (formerly known as Mario Ho Holdings Limited), a limited liability company established in the British Virgin Islands, which is wholly owned by Mr. Mario Yau Kwan Ho.</w:t>
      </w:r>
    </w:p>
    <w:p>
      <w:pPr>
        <w:ind w:left="1620" w:right="759" w:hanging="360"/>
        <w:spacing w:after="0" w:line="322" w:lineRule="auto"/>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xiaOt Sun Holdings Limited, a limited liability company established in the British Virgin Islands, which is wholly owned by Mr. Liwei “xiaOt” Sun.</w:t>
      </w:r>
    </w:p>
    <w:p>
      <w:pPr>
        <w:ind w:left="1620" w:hanging="360"/>
        <w:spacing w:after="0"/>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Diglife AS, a company registered under the laws of Norway, which is 95.61% owned by Mr. Hicham Chahine.</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Tolsona Ltd., a company incorporated in the Republic of Cyprus, which is wholly owned by Mr. Felix Granander.</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Nyx Ventures AS, a company registered under the laws of Norway, which is wholly owned by Mr. Thomas Neslein.</w:t>
      </w:r>
    </w:p>
    <w:p>
      <w:pPr>
        <w:spacing w:after="0" w:line="82" w:lineRule="exact"/>
        <w:rPr>
          <w:rFonts w:ascii="Times New Roman" w:cs="Times New Roman" w:eastAsia="Times New Roman" w:hAnsi="Times New Roman"/>
          <w:sz w:val="14"/>
          <w:szCs w:val="14"/>
          <w:color w:val="auto"/>
        </w:rPr>
      </w:pPr>
    </w:p>
    <w:p>
      <w:pPr>
        <w:jc w:val="both"/>
        <w:ind w:left="1620" w:right="619" w:hanging="360"/>
        <w:spacing w:after="0" w:line="274" w:lineRule="auto"/>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Shanghai Yuyun Management Partnership (Limited Partnership) is a PRC limited partnership. The general partner of Shanghai Yuyun Management Partnership (Limited Partnership) is Wuhan Donghu Lvxin Garden Co. Ltd., a company wholly owned by Wuhan Jinlv Construction Investment (Group) Co. Ltd., which is directly wholly owned by Wuhan Tourism and Sports Group.</w:t>
      </w:r>
    </w:p>
    <w:p>
      <w:pPr>
        <w:spacing w:after="0" w:line="1" w:lineRule="exact"/>
        <w:rPr>
          <w:rFonts w:ascii="Times New Roman" w:cs="Times New Roman" w:eastAsia="Times New Roman" w:hAnsi="Times New Roman"/>
          <w:sz w:val="14"/>
          <w:szCs w:val="14"/>
          <w:color w:val="auto"/>
        </w:rPr>
      </w:pPr>
    </w:p>
    <w:p>
      <w:pPr>
        <w:ind w:left="1620" w:right="499"/>
        <w:spacing w:after="0" w:line="3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Wuhan Tourism and Sports Group is indirectly wholly owned by the Wuhan State-owned Assets Supervision and Administration Commission, or Wuhan SASAC, a sub-department of Wuhan municipal government.</w:t>
      </w:r>
    </w:p>
    <w:p>
      <w:pPr>
        <w:spacing w:after="0" w:line="12" w:lineRule="exact"/>
        <w:rPr>
          <w:rFonts w:ascii="Times New Roman" w:cs="Times New Roman" w:eastAsia="Times New Roman" w:hAnsi="Times New Roman"/>
          <w:sz w:val="14"/>
          <w:szCs w:val="14"/>
          <w:color w:val="auto"/>
        </w:rPr>
      </w:pPr>
    </w:p>
    <w:p>
      <w:pPr>
        <w:ind w:left="1620" w:right="559" w:hanging="360"/>
        <w:spacing w:after="0" w:line="322" w:lineRule="auto"/>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Consisting of 21 shareholders including the Company’s share incentive platform. None of the 21 shareholders is known to us to beneficially own 5% or more of our shares.</w:t>
      </w:r>
    </w:p>
    <w:p>
      <w:pPr>
        <w:ind w:left="1620" w:right="599" w:hanging="360"/>
        <w:spacing w:after="0" w:line="292" w:lineRule="auto"/>
        <w:tabs>
          <w:tab w:leader="none" w:pos="1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Lei Zhang, our director, holds 32.67% of the equity interest in Hongli Culture Communications (Wuhan) Co., Ltd.; Wuhan Optics Valley Talent Venture Capital Partnership (limited partnership) holds 6.66% of the equity interest in Hongli Culture Communications (Wuhan)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NAUDITED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ORMA</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ONDENSED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OMBINED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comprehensive loss for the year ended December 31, 2022 is based on the Company’s consolidated statement of operations and comprehensive loss and Ninjas in Pyjamas’ statement of income and comprehensive loss as adjusted to give effect to the completion of the acquisition of Ninjas in Pyjamas on January 10, 2023. The unaudited</w:t>
      </w:r>
    </w:p>
    <w:p>
      <w:pPr>
        <w:spacing w:after="0" w:line="3" w:lineRule="exact"/>
        <w:rPr>
          <w:sz w:val="20"/>
          <w:szCs w:val="20"/>
          <w:color w:val="auto"/>
        </w:rPr>
      </w:pPr>
    </w:p>
    <w:p>
      <w:pPr>
        <w:ind w:left="1260" w:right="799"/>
        <w:spacing w:after="0" w:line="260" w:lineRule="auto"/>
        <w:rPr>
          <w:sz w:val="20"/>
          <w:szCs w:val="20"/>
          <w:color w:val="auto"/>
        </w:rPr>
      </w:pPr>
      <w:r>
        <w:rPr>
          <w:rFonts w:ascii="Times New Roman" w:cs="Times New Roman" w:eastAsia="Times New Roman" w:hAnsi="Times New Roman"/>
          <w:sz w:val="18"/>
          <w:szCs w:val="18"/>
          <w:color w:val="auto"/>
        </w:rPr>
        <w:t>pro forma condensed combined statement of comprehensive loss for the year ended December 31, 2022 gives effect to the acquisition of Ninjas in Pyjamas as if it had occurred on January 1, 2022.</w:t>
      </w:r>
    </w:p>
    <w:p>
      <w:pPr>
        <w:spacing w:after="0" w:line="114"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comprehensive loss present the combination of certain financial information of NIP Group Inc. and Ninjas in Pyjamas, adjusted to give effect to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06"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comprehensive loss for the year ended December 31, 2022 combines the statement of income and comprehensive loss of Ninjas in Pyjamas and NIP Group Inc. for such periods on a pro forma basis as if the Business Combination had been consummated on January 1, 2022.</w:t>
      </w:r>
    </w:p>
    <w:p>
      <w:pPr>
        <w:spacing w:after="0" w:line="11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necessarily reflect what the combined company’s results of operations would have been had the acquisition occurred on the date indicated. It also may not be useful in predicting the future financial condition and results of operations of the combined company. The actual results of operations may differ significantly from the pro forma amounts reflected herein due to a variety of factors.</w:t>
      </w:r>
    </w:p>
    <w:p>
      <w:pPr>
        <w:spacing w:after="0" w:line="116"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adjustments represent the Company’s management’s estimates based on information available as of the date of the unaudited pro forma condensed combined financial information and is subject to, and may differ materially from, the information presented as additional information becomes available and analyses are performed. The Company’s management believes that its assumptions and methodologies provide a reasonable basis for presenting all of the significant effects of the Business Combination based on information available to our management at this time and that the pro forma adjustments give appropriate effect to those assumptions and are properly applied in the unaudited</w:t>
      </w:r>
    </w:p>
    <w:p>
      <w:pPr>
        <w:spacing w:after="0" w:line="3"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pro forma condensed combined financial information. Our historical financial statements and the historical financial statements of Ninjas in Pyjamas are included elsewhere in this prospectus and the unaudited pro forma condensed combined statement of comprehensive loss should be read in conjunction with those financial statements and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Comprehensive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3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NIP</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Ninjas in</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Group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Pyjamas</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4"/>
                <w:szCs w:val="14"/>
                <w:color w:val="auto"/>
              </w:rPr>
            </w:pP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9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Historical </w:t>
            </w:r>
            <w:r>
              <w:rPr>
                <w:rFonts w:ascii="Times New Roman" w:cs="Times New Roman" w:eastAsia="Times New Roman" w:hAnsi="Times New Roman"/>
                <w:sz w:val="24"/>
                <w:szCs w:val="24"/>
                <w:b w:val="1"/>
                <w:bCs w:val="1"/>
                <w:color w:val="auto"/>
                <w:vertAlign w:val="subscript"/>
              </w:rPr>
              <w:t>​</w:t>
            </w:r>
          </w:p>
        </w:tc>
        <w:tc>
          <w:tcPr>
            <w:tcW w:w="96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p>
        </w:tc>
        <w:tc>
          <w:tcPr>
            <w:tcW w:w="8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Combined </w:t>
            </w:r>
            <w:r>
              <w:rPr>
                <w:rFonts w:ascii="Times New Roman" w:cs="Times New Roman" w:eastAsia="Times New Roman" w:hAnsi="Times New Roman"/>
                <w:sz w:val="24"/>
                <w:szCs w:val="24"/>
                <w:b w:val="1"/>
                <w:bCs w:val="1"/>
                <w:color w:val="auto"/>
                <w:vertAlign w:val="subscript"/>
              </w:rPr>
              <w:t>​</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33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 except per share data in 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-164465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-164465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-164465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 65,835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7,373 ​​ ​</w:t>
            </w:r>
          </w:p>
        </w:tc>
      </w:tr>
      <w:tr>
        <w:trPr>
          <w:trHeight w:val="25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​(62,093)​​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(3,657)​​ ​</w:t>
            </w: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3,742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3,716 </w:t>
            </w:r>
            <w:r>
              <w:rPr>
                <w:rFonts w:ascii="Times New Roman" w:cs="Times New Roman" w:eastAsia="Times New Roman" w:hAnsi="Times New Roman"/>
                <w:sz w:val="18"/>
                <w:szCs w:val="18"/>
                <w:color w:val="auto"/>
              </w:rPr>
              <w:t>​​ ​</w:t>
            </w:r>
          </w:p>
        </w:tc>
      </w:tr>
      <w:tr>
        <w:trPr>
          <w:trHeight w:val="261"/>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 (5,495)​​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(1,713)​​ ​</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 (6,328)​​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(1,495)​​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​(11,823)</w:t>
            </w:r>
            <w:r>
              <w:rPr>
                <w:rFonts w:ascii="Times New Roman" w:cs="Times New Roman" w:eastAsia="Times New Roman" w:hAnsi="Times New Roman"/>
                <w:sz w:val="18"/>
                <w:szCs w:val="18"/>
                <w:color w:val="auto"/>
              </w:rPr>
              <w:t>​​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r>
              <w:rPr>
                <w:rFonts w:ascii="Times New Roman" w:cs="Times New Roman" w:eastAsia="Times New Roman" w:hAnsi="Times New Roman"/>
                <w:sz w:val="18"/>
                <w:szCs w:val="18"/>
                <w:color w:val="auto"/>
              </w:rPr>
              <w:t>​​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(8,081)</w:t>
            </w: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508 </w:t>
            </w:r>
            <w:r>
              <w:rPr>
                <w:rFonts w:ascii="Times New Roman" w:cs="Times New Roman" w:eastAsia="Times New Roman" w:hAnsi="Times New Roman"/>
                <w:sz w:val="18"/>
                <w:szCs w:val="18"/>
                <w:color w:val="auto"/>
              </w:rPr>
              <w:t>​​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(loss), net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r>
              <w:rPr>
                <w:rFonts w:ascii="Times New Roman" w:cs="Times New Roman" w:eastAsia="Times New Roman" w:hAnsi="Times New Roman"/>
                <w:sz w:val="18"/>
                <w:szCs w:val="18"/>
                <w:color w:val="auto"/>
              </w:rPr>
              <w:t>​​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(6,445)</w:t>
            </w: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color w:val="auto"/>
              </w:rPr>
              <w:t>​​ ​</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(expenses)</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(6,306)</w:t>
            </w: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256 </w:t>
            </w:r>
            <w:r>
              <w:rPr>
                <w:rFonts w:ascii="Times New Roman" w:cs="Times New Roman" w:eastAsia="Times New Roman" w:hAnsi="Times New Roman"/>
                <w:sz w:val="18"/>
                <w:szCs w:val="18"/>
                <w:color w:val="auto"/>
              </w:rPr>
              <w:t>​​ ​</w:t>
            </w:r>
          </w:p>
        </w:tc>
      </w:tr>
      <w:tr>
        <w:trPr>
          <w:trHeight w:val="265"/>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NIP Group Inc.’s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8"/>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(6,216)​​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 ​</w:t>
            </w:r>
          </w:p>
        </w:tc>
      </w:tr>
      <w:tr>
        <w:trPr>
          <w:trHeight w:val="292"/>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13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xml:space="preserve">​ ​ ​(25,297)​​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NIP Group Inc.’s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8"/>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(31,513)​​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 ​</w:t>
            </w:r>
          </w:p>
        </w:tc>
      </w:tr>
      <w:tr>
        <w:trPr>
          <w:trHeight w:val="29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attributable to non-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8"/>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controlling interest, net of nil tax</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38"/>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(loss) attributable to</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1"/>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shareholders, net of nil tax</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0"/>
        </w:trPr>
        <w:tc>
          <w:tcPr>
            <w:tcW w:w="4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(6,126)</w:t>
            </w: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r>
              <w:rPr>
                <w:rFonts w:ascii="Times New Roman" w:cs="Times New Roman" w:eastAsia="Times New Roman" w:hAnsi="Times New Roman"/>
                <w:sz w:val="18"/>
                <w:szCs w:val="18"/>
                <w:color w:val="auto"/>
              </w:rPr>
              <w:t>​​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share-basic and diluted</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 34,988 ​​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-4499610</wp:posOffset>
            </wp:positionV>
            <wp:extent cx="52120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52120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-3839845</wp:posOffset>
            </wp:positionV>
            <wp:extent cx="52120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-3496945</wp:posOffset>
            </wp:positionV>
            <wp:extent cx="52120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-3154045</wp:posOffset>
            </wp:positionV>
            <wp:extent cx="52120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52120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52120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521208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-1645285</wp:posOffset>
            </wp:positionV>
            <wp:extent cx="5212080" cy="308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521208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521208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49"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u w:val="single" w:color="auto"/>
          <w:color w:val="auto"/>
        </w:rPr>
        <w:t>—</w:t>
      </w:r>
    </w:p>
    <w:p>
      <w:pPr>
        <w:spacing w:after="0" w:line="103" w:lineRule="exact"/>
        <w:rPr>
          <w:rFonts w:ascii="Times New Roman" w:cs="Times New Roman" w:eastAsia="Times New Roman" w:hAnsi="Times New Roman"/>
          <w:sz w:val="18"/>
          <w:szCs w:val="18"/>
          <w:b w:val="1"/>
          <w:bCs w:val="1"/>
          <w:u w:val="single" w:color="auto"/>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0" w:hanging="94"/>
        <w:spacing w:after="0"/>
        <w:tabs>
          <w:tab w:leader="none" w:pos="1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73,208 </w:t>
      </w:r>
      <w:r>
        <w:rPr>
          <w:rFonts w:ascii="Times New Roman" w:cs="Times New Roman" w:eastAsia="Times New Roman" w:hAnsi="Times New Roman"/>
          <w:sz w:val="18"/>
          <w:szCs w:val="18"/>
          <w:b w:val="1"/>
          <w:bCs w:val="1"/>
          <w:color w:val="auto"/>
        </w:rPr>
        <w:t>​</w:t>
      </w:r>
    </w:p>
    <w:p>
      <w:pPr>
        <w:spacing w:after="0" w:line="54"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(65,750)</w:t>
      </w:r>
      <w:r>
        <w:rPr>
          <w:rFonts w:ascii="Times New Roman" w:cs="Times New Roman" w:eastAsia="Times New Roman" w:hAnsi="Times New Roman"/>
          <w:sz w:val="18"/>
          <w:szCs w:val="18"/>
          <w:b w:val="1"/>
          <w:bCs w:val="1"/>
          <w:color w:val="auto"/>
        </w:rPr>
        <w:t>​</w:t>
      </w:r>
    </w:p>
    <w:p>
      <w:pPr>
        <w:spacing w:after="0" w:line="49"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7,458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rFonts w:ascii="Times New Roman" w:cs="Times New Roman" w:eastAsia="Times New Roman" w:hAnsi="Times New Roman"/>
          <w:sz w:val="18"/>
          <w:szCs w:val="18"/>
          <w:color w:val="auto"/>
        </w:rPr>
      </w:pPr>
    </w:p>
    <w:p>
      <w:pPr>
        <w:ind w:left="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40"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(7,208)</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(7,823)</w:t>
      </w:r>
      <w:r>
        <w:rPr>
          <w:rFonts w:ascii="Times New Roman" w:cs="Times New Roman" w:eastAsia="Times New Roman" w:hAnsi="Times New Roman"/>
          <w:sz w:val="18"/>
          <w:szCs w:val="18"/>
          <w:b w:val="1"/>
          <w:bCs w:val="1"/>
          <w:color w:val="auto"/>
        </w:rPr>
        <w:t>​</w:t>
      </w:r>
    </w:p>
    <w:p>
      <w:pPr>
        <w:spacing w:after="0" w:line="59"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​(15,031)​</w:t>
      </w:r>
    </w:p>
    <w:p>
      <w:pPr>
        <w:spacing w:after="0" w:line="6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(7,573)​</w:t>
      </w:r>
    </w:p>
    <w:p>
      <w:pPr>
        <w:spacing w:after="0" w:line="76" w:lineRule="exact"/>
        <w:rPr>
          <w:rFonts w:ascii="Times New Roman" w:cs="Times New Roman" w:eastAsia="Times New Roman" w:hAnsi="Times New Roman"/>
          <w:sz w:val="18"/>
          <w:szCs w:val="18"/>
          <w:color w:val="auto"/>
        </w:rPr>
      </w:pPr>
    </w:p>
    <w:p>
      <w:pPr>
        <w:ind w:left="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5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1,989 </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(460)</w:t>
      </w:r>
      <w:r>
        <w:rPr>
          <w:rFonts w:ascii="Times New Roman" w:cs="Times New Roman" w:eastAsia="Times New Roman" w:hAnsi="Times New Roman"/>
          <w:sz w:val="18"/>
          <w:szCs w:val="18"/>
          <w:b w:val="1"/>
          <w:bCs w:val="1"/>
          <w:color w:val="auto"/>
        </w:rPr>
        <w:t>​</w:t>
      </w:r>
    </w:p>
    <w:p>
      <w:pPr>
        <w:spacing w:after="0" w:line="59"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(6,044)​</w:t>
      </w:r>
    </w:p>
    <w:p>
      <w:pPr>
        <w:spacing w:after="0" w:line="67" w:lineRule="exact"/>
        <w:rPr>
          <w:sz w:val="20"/>
          <w:szCs w:val="20"/>
          <w:color w:val="auto"/>
        </w:rPr>
      </w:pPr>
    </w:p>
    <w:tbl>
      <w:tblPr>
        <w:tblLayout w:type="fixed"/>
        <w:tblInd w:w="1" w:type="dxa"/>
        <w:tblCellMar>
          <w:top w:w="0" w:type="dxa"/>
          <w:left w:w="0" w:type="dxa"/>
          <w:bottom w:w="0" w:type="dxa"/>
          <w:right w:w="0" w:type="dxa"/>
        </w:tblCellMar>
      </w:tblP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p>
        </w:tc>
      </w:tr>
    </w:tbl>
    <w:p>
      <w:pPr>
        <w:spacing w:after="0" w:line="5" w:lineRule="exact"/>
        <w:rPr>
          <w:sz w:val="20"/>
          <w:szCs w:val="20"/>
          <w:color w:val="auto"/>
        </w:rPr>
      </w:pPr>
    </w:p>
    <w:p>
      <w:pPr>
        <w:ind w:left="161" w:hanging="161"/>
        <w:spacing w:after="0"/>
        <w:tabs>
          <w:tab w:leader="none" w:pos="1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(6,050)​</w:t>
      </w:r>
    </w:p>
    <w:p>
      <w:pPr>
        <w:spacing w:after="0" w:line="67" w:lineRule="exact"/>
        <w:rPr>
          <w:sz w:val="20"/>
          <w:szCs w:val="20"/>
          <w:color w:val="auto"/>
        </w:rPr>
      </w:pPr>
    </w:p>
    <w:tbl>
      <w:tblPr>
        <w:tblLayout w:type="fixed"/>
        <w:tblInd w:w="1" w:type="dxa"/>
        <w:tblCellMar>
          <w:top w:w="0" w:type="dxa"/>
          <w:left w:w="0" w:type="dxa"/>
          <w:bottom w:w="0" w:type="dxa"/>
          <w:right w:w="0" w:type="dxa"/>
        </w:tblCellMar>
      </w:tblPr>
      <w:tr>
        <w:trPr>
          <w:trHeight w:val="26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w:t>
            </w:r>
          </w:p>
        </w:tc>
      </w:tr>
    </w:tbl>
    <w:p>
      <w:pPr>
        <w:spacing w:after="0" w:line="211" w:lineRule="exact"/>
        <w:rPr>
          <w:sz w:val="20"/>
          <w:szCs w:val="20"/>
          <w:color w:val="auto"/>
        </w:rPr>
      </w:pPr>
    </w:p>
    <w:p>
      <w:pPr>
        <w:ind w:left="161" w:hanging="161"/>
        <w:spacing w:after="0"/>
        <w:tabs>
          <w:tab w:leader="none" w:pos="1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(5,960)</w:t>
      </w:r>
      <w:r>
        <w:rPr>
          <w:rFonts w:ascii="Times New Roman" w:cs="Times New Roman" w:eastAsia="Times New Roman" w:hAnsi="Times New Roman"/>
          <w:sz w:val="18"/>
          <w:szCs w:val="18"/>
          <w:b w:val="1"/>
          <w:bCs w:val="1"/>
          <w:color w:val="auto"/>
        </w:rPr>
        <w:t>​</w:t>
      </w:r>
    </w:p>
    <w:p>
      <w:pPr>
        <w:spacing w:after="0" w:line="76"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(25,297)</w:t>
      </w:r>
      <w:r>
        <w:rPr>
          <w:rFonts w:ascii="Times New Roman" w:cs="Times New Roman" w:eastAsia="Times New Roman" w:hAnsi="Times New Roman"/>
          <w:sz w:val="18"/>
          <w:szCs w:val="18"/>
          <w:b w:val="1"/>
          <w:bCs w:val="1"/>
          <w:color w:val="auto"/>
        </w:rPr>
        <w:t>​</w:t>
      </w:r>
    </w:p>
    <w:p>
      <w:pPr>
        <w:spacing w:after="0" w:line="265"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(31,257)</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color w:val="auto"/>
        </w:rPr>
      </w:pPr>
    </w:p>
    <w:p>
      <w:pPr>
        <w:ind w:left="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ind w:left="161" w:hanging="161"/>
        <w:spacing w:after="0"/>
        <w:tabs>
          <w:tab w:leader="none" w:pos="1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99"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(6,290)​</w:t>
      </w:r>
    </w:p>
    <w:p>
      <w:pPr>
        <w:spacing w:after="0" w:line="67"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(0.89)</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auto"/>
        </w:rPr>
      </w:pPr>
    </w:p>
    <w:p>
      <w:pPr>
        <w:ind w:left="161" w:hanging="161"/>
        <w:spacing w:after="0"/>
        <w:tabs>
          <w:tab w:leader="none" w:pos="1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34,988 </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ectPr>
          <w:pgSz w:w="11900" w:h="16838" w:orient="portrait"/>
          <w:cols w:equalWidth="0" w:num="3">
            <w:col w:w="7800" w:space="240"/>
            <w:col w:w="280" w:space="239"/>
            <w:col w:w="1320"/>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Note 1 — Basis of Presentation</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statement of comprehensive loss for the year ended December 31, 2022 is based on the Company’s historical consolidated statement of comprehensive loss and Ninjas in Pyjamas’ historical statement of comprehensive income as adjusted to give effect to the acquisition of Ninjas in Pyjamas as if it had occurred on January 1, 2022.</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in accordance with Accounting Standards Codification Topic 805, Business Combinations, (“ASC 805”). The purchase price allocation and related adjustments reflected in the unaudited pro forma condensed combined financial information are incomplete as acquisition- date fair value analyses are ongoing. The purchase price consideration, as well as the estimated fair values of the assets acquired and liabilities assumed, will be finalized as soon as practicable, but no later than one year from the closing of the Business Combinations.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Note 2 — Estimated Purchase Price Allocation</w:t>
      </w:r>
    </w:p>
    <w:p>
      <w:pPr>
        <w:spacing w:after="0" w:line="16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total estimated purchase price has been allocated to Ninjas in Pyjamas’ tangible and intangible assets and liabilities in the unaudited pro forma condensed combined financial information on the basis of their estimated fair values as of the closing date of the acquisition. Goodwill is calculated as the difference between the estimate of fair value of the consideration transferred and the estimates of fair value assigned to the assets acquired and liabilities assumed.</w:t>
      </w:r>
    </w:p>
    <w:p>
      <w:pPr>
        <w:spacing w:after="0" w:line="11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As if acquisition of Ninjas in Pyjamas had occurred on January 1, 2022, the total preliminary estimated purchase price was allocated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60" w:type="dxa"/>
            <w:vAlign w:val="bottom"/>
            <w:gridSpan w:val="3"/>
          </w:tcPr>
          <w:p>
            <w:pPr>
              <w:ind w:left="30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(US$ in thousands) </w:t>
            </w:r>
            <w:r>
              <w:rPr>
                <w:rFonts w:ascii="Times New Roman" w:cs="Times New Roman" w:eastAsia="Times New Roman" w:hAnsi="Times New Roman"/>
                <w:sz w:val="24"/>
                <w:szCs w:val="24"/>
                <w:b w:val="1"/>
                <w:bCs w:val="1"/>
                <w:color w:val="auto"/>
                <w:vertAlign w:val="subscript"/>
              </w:rPr>
              <w:t>​</w:t>
            </w:r>
          </w:p>
        </w:tc>
      </w:tr>
      <w:tr>
        <w:trPr>
          <w:trHeight w:val="20"/>
        </w:trPr>
        <w:tc>
          <w:tcPr>
            <w:tcW w:w="3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Fair value of the assets acquired and the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27305</wp:posOffset>
            </wp:positionV>
            <wp:extent cx="474916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working capital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 esports tournament seats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 Brand name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 Talent acquisition costs</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4"/>
          </w:tcPr>
          <w:p>
            <w:pPr>
              <w:ind w:left="12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$168,000</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2"/>
                <w:szCs w:val="22"/>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 45,985</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 24,053</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22"/>
                <w:szCs w:val="22"/>
                <w:color w:val="auto"/>
              </w:rPr>
            </w:pP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​(14,428)</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80" w:space="720"/>
            <w:col w:w="21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360" w:type="dxa"/>
            <w:vAlign w:val="bottom"/>
          </w:tcPr>
          <w:p>
            <w:pPr>
              <w:spacing w:after="0"/>
              <w:rPr>
                <w:sz w:val="23"/>
                <w:szCs w:val="23"/>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w:t>
            </w:r>
          </w:p>
        </w:tc>
        <w:tc>
          <w:tcPr>
            <w:tcW w:w="4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 58,757</w:t>
            </w:r>
          </w:p>
        </w:tc>
        <w:tc>
          <w:tcPr>
            <w:tcW w:w="24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Borders>
              <w:bottom w:val="single" w:sz="8" w:color="auto"/>
            </w:tcBorders>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$109,243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579" w:hanging="360"/>
        <w:spacing w:after="0" w:line="292" w:lineRule="auto"/>
        <w:tabs>
          <w:tab w:leader="none" w:pos="1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useful life of acquired intangible assets from Business Combination were considered to be indefinite, as we expect that the league tournaments right and brand name of Ninjas in Pyjamas are unlikely to be terminated based on industry experience and will continue to contribute revenue in the future.</w:t>
      </w:r>
    </w:p>
    <w:p>
      <w:pPr>
        <w:spacing w:after="0" w:line="1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liabilities were calculated based on appreciation fair value of all intangible assets multiplied by income tax rate.</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Note 3 — Pro Forma Adjustment</w:t>
      </w:r>
    </w:p>
    <w:p>
      <w:pPr>
        <w:spacing w:after="0" w:line="146"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unaudited pro forma statement of comprehensive loss was prepared in accordance with Article 11 of Regulation S -X. The unaudited pro forma condensed combined financial information has been prepared to illustrate the effect of the Business Combination and has been prepared for informational purposes only.</w:t>
      </w:r>
    </w:p>
    <w:p>
      <w:pPr>
        <w:spacing w:after="0" w:line="10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Basic and diluted pro forma net loss per share is based on the weighted average number of shares of NIP’s ordinary shares outstanding for the period presented.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ISCUSSION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NALYSIS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p>
    <w:p>
      <w:pPr>
        <w:spacing w:after="0" w:line="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ESULTS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PERATIONS</w:t>
      </w:r>
    </w:p>
    <w:p>
      <w:pPr>
        <w:spacing w:after="0" w:line="17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entitled “Summary Consolidated Financial Data” and our consolidated financial statements and the related notes included elsewhere in this prospectus.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“Risk Factors” and elsewhere in this prospectus. See “Special Note Regarding Forward-Looking Statements.”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are a leading esports organization with the most expansive global footprint by virtue of our operations across Asia, Europe and South America, according to the Frost &amp; Sullivan Report. Among the top ten esports titles in the world in terms of prize pool, our wins in tier-1 world tournaments in CS:GO, Honor of Kings, Rainbow Six and FIFA represent more unique game titles with top-tier wins than any other esports organization as of January 31, 2023, according to the Frost &amp; Sullivan Report. We were founded based on a passion for esports and belief that esports can create the same types of historical and legendary experiences and memories as traditional sports have for the past century.</w:t>
      </w:r>
    </w:p>
    <w:p>
      <w:pPr>
        <w:spacing w:after="0" w:line="1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operate two esports brands: Ninjas in Pyjamas and eStar Gaming. Ninjas in Pyjamas, our PC/​ console esports brand, was founded in 2000 in Sweden, while eStar Gaming, our mobile esports brand, was founded in 2014 in China. We have an expansive portfolio of esports teams, competing at the highest level in video game titles such as League of Legends, CS: GO, Honor of Kings, Rainbow Six, Rocket League, Fortnite and Call of Duty Mobile.</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believe that there is tremendous potential in what we refer to as the “esports+” model, with the first phase being competitive esports itself — building championship-caliber teams across the most popular esports titles. NIP Group is currently at the second phase of esports+, supplementing our competitive esports business with our talent management, event production, creative studios, and burgeoning advertising businesses to create a diverse and sustainable revenue stream driving our continued growth. Currently, we primarily generate revenues from our esports teams, talent management and event production businesses.</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experienced robust growth in our net revenues, which increased from US$65.8 million in 2022 to US$83.7 million in 2023. Our gross profit also increased from US$3.7 million in 2022 to US$7.2 million in 2023, representing gross profit margin of 5.7% and 8.6% for the same years,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following are the principal factors that have affected and will continue to affect our business, financial condition, results of operations and prospects.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quality of our athletes and our competitive results, as well as our ability to obtain more league seats</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For our esports teams business, we derive revenues from league revenue sharing, prize money, athlete transfer and rental fees, as well as sponsorship and advertising fees, all of which are largely dependent on the quality of our athletes, our competitive results, and the number of league seats we hold. We earn prize money based on tournament performance across various game titles and leagues, and league revenue shares based on factors such as team performance and popularity. Athlete transfer and rental fees for popular game titles can also be a significant source of revenues, especially for those with top tournament performance. As we have grown our roster of talent, we have also established a solid talent development system designed for growth, longevity and performance. At the same time, we will also continue to identify popular esports titles with a visible path to sustainability to expand into, which will also affect our revenues.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make, attract and retain star online entertainers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generate revenues from our talent management business from advertising fees, sponsorship fees and live streaming service fees. As such, our revenues depend significantly on our ability to make, attract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5" w:lineRule="auto"/>
        <w:rPr>
          <w:sz w:val="20"/>
          <w:szCs w:val="20"/>
          <w:color w:val="auto"/>
        </w:rPr>
      </w:pPr>
      <w:r>
        <w:rPr>
          <w:rFonts w:ascii="Times New Roman" w:cs="Times New Roman" w:eastAsia="Times New Roman" w:hAnsi="Times New Roman"/>
          <w:sz w:val="18"/>
          <w:szCs w:val="18"/>
          <w:color w:val="auto"/>
        </w:rPr>
        <w:t>retain online entertainers with sufficient popularity to attract advertisers and sponsorships, and live streaming views. We focus on developing our roster of esports athletes to become successful online entertainers, as well as identifying and recruiting high -potential candidates from major entertainment platforms and competitive esports games. In addition, we do not rely on star individuals, but rather to aim offer comprehensive operation and marketing services to incubate our talent to become successful online entertainers, support their career development, and empower them to grow their own audience within our ecosystem.</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produce more esports events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operate a broad range of local and nationwide esports events and generate revenues from service fees, sponsorship and advertising fees. The number of events have been and will continue to be key drivers of our revenue growth. We are always looking to produce a more diverse range of esports events across titles, organizers and geographies to grow our revenues and expand our business.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innovate and diversify our revenue streams</w:t>
      </w:r>
    </w:p>
    <w:p>
      <w:pPr>
        <w:spacing w:after="0" w:line="148"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Our continued, sustainable growth is dependent on our ability to engage the growing esports community and develop new avenues for monetization. With our continuous development of talent management and event production businesses since 2022, we enhanced our ability to engage directly with our fans, and empowered upstream game developers, promoters and brands with our proprietary IPs and resources. In 2023, net revenues from our esports teams operation, talent management and events production businesses accounted for 25.9%, 62.9% and 11.2% of our net revenues, respectively. We will continue to extend revenue realization opportunities as we grow along the esports+ model, and expect to have increasing revenue contribution from new areas such as our specialized content creation and advertising offerings.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execute strategic acquisitions and investments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will invest in mergers and acquisitions through a targeted strategy that focuses on targets that fit well with our target audience and support the strength of our brand. We anticipate that the acquisition of new companies will drive our long-term growth while potentially exerting short-term pressure on our financial results. For example, acquisitions of targets can present short-term challenges, such as the addition of employees and associated integration costs and expenses, which may not necessarily result in a proportional revenue increase, thereby affecting our margin profile.</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January 2023, we merged with Ninjas in Pyjamas Gaming AB, a Swedish public limited liability company incorporated in January 2014 with a brand history of more than 20 years since 2000 in the esports industry. The merger was completed through a series of share swap transactions, with Ninjas in Pyjamas becoming a wholly-owned subsidiary of NIP Group Inc. We anticipate that our merger with Ninjas in Pyjamas may enhance our ability to be profitable in the future. In 2022, Ninjas in Pyjamas recorded gross profit margin of 50.4%, and our pro forma unaudited gross profit margin has therefore reached 10.2% for 2022. Ninjas in Pyjamas has been included in our consolidated results of operations since January 2023, and our gross profit increased from US$3.7 million in 2022 to US$7.2 million in 2023, with gross profit margin increasing from 5.7% in 2022 to 8.6% in 2023.</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Impact of COVID-19 on Our Operation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results of operations and financial condition have been, and will continue to be affected by the</w:t>
      </w:r>
    </w:p>
    <w:p>
      <w:pPr>
        <w:spacing w:after="0" w:line="16"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COVID-19 pandemic, including outbreaks due to any existing or new variants. The extent to which COVID-19 impacts our results of operations will depend on future developments of the pandemic, including new information concerning its global severity, actions taken to contain the pandemic and the efficacy of vaccine or treatment, all of which are highly uncertain and unpredictable. In addition, our results of operations could be adversely affected to the extent that COVID-19 impacts the global economy in general.</w:t>
      </w:r>
    </w:p>
    <w:p>
      <w:pPr>
        <w:spacing w:after="0" w:line="11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unpredictability in the COVID-19 situation casted shadows over our business operations, in particular to our event production business. From 2021 to 2022, we had to cancel 11 of our esports tournaments and relevant event originally scheduled, as a result of the pandemic and the policies imposed by government authorities, including travel and gathering restrictions, mandatory quarantining requirements or strict lockdowns.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Although recently, China has substantially lifted COVID-19 restrictions, the resurgence of virus within China remains strong. We expect that our operations will continue to be adversely impacted by COVID-19 and its repercussions, including but not limited to governmental regulations on capacity limitations of certain enclosed venues, suggested quarantining or social distancing policies, as well as temporary lockdowns in certain areas due to COVID-19 outbreak. In addition, the economy downturn partially induced by COVID-19 may also substantially reduce the will of spending of our viewers and sponsors, and thereby restrict our monetization abilities, and therefore result in unsatisfactory performance of our business, financial conditions and results of operations.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derive net revenues primarily from: (i) esports teams operation, (ii) talent management service, and (iii) event production. For the years ended December 31, 2022 and 2023, our net revenues were</w:t>
      </w:r>
    </w:p>
    <w:p>
      <w:pPr>
        <w:spacing w:after="0" w:line="1"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US$65.8 million and US$83.7 million, respectively. Net revenues of Ninjas in Pyjamas were US$9.4 million and US$7.4 million in 2021 and 2022, respectively, which were all derived from esports teams operation.</w:t>
      </w:r>
    </w:p>
    <w:p>
      <w:pPr>
        <w:spacing w:after="0" w:line="10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breakdown of net revenues of us and Ninjas in Pyjamas by business segments for the years indicated.</w:t>
      </w:r>
    </w:p>
    <w:p>
      <w:pPr>
        <w:sectPr>
          <w:pgSz w:w="11900" w:h="16838" w:orient="portrait"/>
          <w:cols w:equalWidth="0" w:num="1">
            <w:col w:w="9879"/>
          </w:cols>
          <w:pgMar w:left="580" w:top="97" w:right="1440" w:bottom="1440" w:gutter="0" w:footer="0" w:header="0"/>
        </w:sectPr>
      </w:pP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NIP Group Inc.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156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7"/>
              </w:rPr>
              <w:t>Ninjas in Pyjamas</w:t>
            </w:r>
          </w:p>
        </w:tc>
      </w:tr>
      <w:tr>
        <w:trPr>
          <w:trHeight w:val="171"/>
        </w:trPr>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r>
      <w:tr>
        <w:trPr>
          <w:trHeight w:val="214"/>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156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
        </w:trPr>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p>
        </w:tc>
        <w:tc>
          <w:tcPr>
            <w:tcW w:w="1220" w:type="dxa"/>
            <w:vAlign w:val="bottom"/>
            <w:gridSpan w:val="3"/>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7"/>
                <w:szCs w:val="17"/>
                <w:b w:val="1"/>
                <w:bCs w:val="1"/>
                <w:color w:val="auto"/>
                <w:vertAlign w:val="superscript"/>
              </w:rPr>
              <w:t>(2)</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8"/>
        </w:trPr>
        <w:tc>
          <w:tcPr>
            <w:tcW w:w="1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(Unaudited)</w:t>
            </w:r>
            <w:r>
              <w:rPr>
                <w:rFonts w:ascii="Times New Roman" w:cs="Times New Roman" w:eastAsia="Times New Roman" w:hAnsi="Times New Roman"/>
                <w:sz w:val="17"/>
                <w:szCs w:val="17"/>
                <w:b w:val="1"/>
                <w:bCs w:val="1"/>
                <w:color w:val="auto"/>
                <w:w w:val="95"/>
                <w:vertAlign w:val="superscript"/>
              </w:rPr>
              <w:t>(1)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2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9"/>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4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560" w:type="dxa"/>
            <w:vAlign w:val="bottom"/>
          </w:tcPr>
          <w:p>
            <w:pPr>
              <w:jc w:val="right"/>
              <w:ind w:right="48"/>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1000" w:type="dxa"/>
            <w:vAlign w:val="bottom"/>
            <w:gridSpan w:val="3"/>
          </w:tcPr>
          <w:p>
            <w:pPr>
              <w:jc w:val="right"/>
              <w:ind w:right="4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r>
      <w:tr>
        <w:trPr>
          <w:trHeight w:val="20"/>
        </w:trPr>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-162560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-162560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-162560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-162560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-162560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-162560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-162560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-162560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-162560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6" w:lineRule="exact"/>
        <w:rPr>
          <w:sz w:val="20"/>
          <w:szCs w:val="20"/>
          <w:color w:val="auto"/>
        </w:rPr>
      </w:pPr>
    </w:p>
    <w:p>
      <w:pPr>
        <w:sectPr>
          <w:pgSz w:w="11900" w:h="16838" w:orient="portrait"/>
          <w:cols w:equalWidth="0" w:num="2">
            <w:col w:w="9380" w:space="20"/>
            <w:col w:w="4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Esports teams operation</w:t>
            </w:r>
          </w:p>
        </w:tc>
        <w:tc>
          <w:tcPr>
            <w:tcW w:w="21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​​​21,717​​​​ 33.0​​​​29,090​​​​</w:t>
            </w:r>
          </w:p>
        </w:tc>
        <w:tc>
          <w:tcPr>
            <w:tcW w:w="11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39.7​​​​21,656​​​​</w:t>
            </w:r>
          </w:p>
        </w:tc>
        <w:tc>
          <w:tcPr>
            <w:tcW w:w="244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25.9​​​​9,398​​​​100.0​​​​7,373​​​​100.0​​​</w:t>
            </w:r>
          </w:p>
        </w:tc>
      </w:tr>
      <w:tr>
        <w:trPr>
          <w:trHeight w:val="25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Talent management service</w:t>
            </w:r>
          </w:p>
        </w:tc>
        <w:tc>
          <w:tcPr>
            <w:tcW w:w="21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​​​38,556​​​​ 58.6​​​​38,556​​​​</w:t>
            </w:r>
          </w:p>
        </w:tc>
        <w:tc>
          <w:tcPr>
            <w:tcW w:w="11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52.7​​​​52,611​​​​</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18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  —​​​​  —​​​</w:t>
            </w:r>
          </w:p>
        </w:tc>
      </w:tr>
      <w:tr>
        <w:trPr>
          <w:trHeight w:val="270"/>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Event production</w:t>
            </w:r>
          </w:p>
        </w:tc>
        <w:tc>
          <w:tcPr>
            <w:tcW w:w="1080" w:type="dxa"/>
            <w:vAlign w:val="bottom"/>
            <w:gridSpan w:val="4"/>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5,562</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0" w:type="dxa"/>
            <w:vAlign w:val="bottom"/>
            <w:gridSpan w:val="3"/>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5,562</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3"/>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160" w:type="dxa"/>
            <w:vAlign w:val="bottom"/>
            <w:gridSpan w:val="6"/>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9,401</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11.2</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80" w:type="dxa"/>
            <w:vAlign w:val="bottom"/>
            <w:gridSpan w:val="30"/>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​65,835</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​73,208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​83,668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​9,398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​7,373</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-616585</wp:posOffset>
            </wp:positionV>
            <wp:extent cx="521208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-281940</wp:posOffset>
            </wp:positionV>
            <wp:extent cx="5212080" cy="196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ind w:left="1620" w:right="579" w:hanging="360"/>
        <w:spacing w:after="0" w:line="302" w:lineRule="auto"/>
        <w:tabs>
          <w:tab w:leader="none" w:pos="1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13" w:lineRule="exact"/>
        <w:rPr>
          <w:rFonts w:ascii="Times New Roman" w:cs="Times New Roman" w:eastAsia="Times New Roman" w:hAnsi="Times New Roman"/>
          <w:sz w:val="14"/>
          <w:szCs w:val="14"/>
          <w:color w:val="auto"/>
        </w:rPr>
      </w:pPr>
    </w:p>
    <w:p>
      <w:pPr>
        <w:ind w:left="1620" w:right="739" w:hanging="360"/>
        <w:spacing w:after="0" w:line="281" w:lineRule="auto"/>
        <w:tabs>
          <w:tab w:leader="none" w:pos="1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11"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Esports teams operation. </w:t>
      </w:r>
      <w:r>
        <w:rPr>
          <w:rFonts w:ascii="Times New Roman" w:cs="Times New Roman" w:eastAsia="Times New Roman" w:hAnsi="Times New Roman"/>
          <w:sz w:val="18"/>
          <w:szCs w:val="18"/>
          <w:color w:val="auto"/>
        </w:rPr>
        <w:t>For the years ended December 31, 2022 and 2023, the revenues we generated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esports teams primarily consisted of: (i) tournament participation reward and league revenue shares, (ii) athlete transfer and rental fees, (iii) sponsorship and advertising fees, (iv) IP licensing for the sales of game props, skins and athlete cards, (v) sales of branded merchandise, (vi) talent management service of esports and (vii) revenues from reality show service fees.</w:t>
      </w:r>
    </w:p>
    <w:p>
      <w:pPr>
        <w:spacing w:after="0" w:line="113"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For 2021 and 2022, the revenues of Ninjas in Pyjamas primarily consisted of: (i) tournament participation reward and league revenue shares, (ii) sponsorship and advertising fees, (iii) IP licensing fees for the sales of game props, skins and athlete cards, (iv) athlete transfer and rental fees, and (v) sales of branded merchandise.</w:t>
      </w:r>
    </w:p>
    <w:p>
      <w:pPr>
        <w:spacing w:after="0" w:line="319" w:lineRule="exact"/>
        <w:rPr>
          <w:sz w:val="20"/>
          <w:szCs w:val="20"/>
          <w:color w:val="auto"/>
        </w:rPr>
      </w:pPr>
    </w:p>
    <w:p>
      <w:pPr>
        <w:ind w:left="1260" w:right="6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management service. </w:t>
      </w:r>
      <w:r>
        <w:rPr>
          <w:rFonts w:ascii="Times New Roman" w:cs="Times New Roman" w:eastAsia="Times New Roman" w:hAnsi="Times New Roman"/>
          <w:sz w:val="18"/>
          <w:szCs w:val="18"/>
          <w:color w:val="auto"/>
        </w:rPr>
        <w:t>We expanded into our talent management business through acquiring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agency contract rights to online entertainers in August 2021, and derived revenues mainly through live streaming service fees. In 2022, the majority of our net revenues under talent management business were generated from our services provided to a related party, namely Wuhan Ouyue, representing 83.7% of our</w:t>
      </w:r>
    </w:p>
    <w:p>
      <w:pPr>
        <w:sectPr>
          <w:pgSz w:w="11900" w:h="16838" w:orient="portrait"/>
          <w:cols w:equalWidth="0" w:num="1">
            <w:col w:w="9879"/>
          </w:cols>
          <w:pgMar w:left="580" w:top="97" w:right="1440" w:bottom="1440" w:gutter="0" w:footer="0" w:header="0"/>
          <w:type w:val="continuous"/>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1" w:lineRule="auto"/>
        <w:rPr>
          <w:sz w:val="20"/>
          <w:szCs w:val="20"/>
          <w:color w:val="auto"/>
        </w:rPr>
      </w:pPr>
      <w:r>
        <w:rPr>
          <w:rFonts w:ascii="Times New Roman" w:cs="Times New Roman" w:eastAsia="Times New Roman" w:hAnsi="Times New Roman"/>
          <w:sz w:val="18"/>
          <w:szCs w:val="18"/>
          <w:color w:val="auto"/>
        </w:rPr>
        <w:t>net revenues generated from talent management services. Through the reassessment of the dilution of equity interest after acquisition of Ninjas in Pyjamas on January 10, 2023, Wuhan Ouyue is no longer accounted as our related party. In 2023, net revenues from Wuhan Ouyue in our talent management business decreased to 20.4% of our total net revenues generated from talent management services.</w:t>
      </w:r>
    </w:p>
    <w:p>
      <w:pPr>
        <w:spacing w:after="0" w:line="108"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 production. </w:t>
      </w:r>
      <w:r>
        <w:rPr>
          <w:rFonts w:ascii="Times New Roman" w:cs="Times New Roman" w:eastAsia="Times New Roman" w:hAnsi="Times New Roman"/>
          <w:sz w:val="18"/>
          <w:szCs w:val="18"/>
          <w:color w:val="auto"/>
        </w:rPr>
        <w:t>We merged with Wuhan ESVF in March 2021, after which its event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has been included in our consolidated results of operation. We produced a series of esports related events and receive our revenues primarily through event organization and execution fees.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cost of revenues consists primarily of: (i) salaries and bonus paid to professional esports athletes,</w:t>
      </w:r>
    </w:p>
    <w:p>
      <w:pPr>
        <w:spacing w:after="0" w:line="27" w:lineRule="exact"/>
        <w:rPr>
          <w:sz w:val="20"/>
          <w:szCs w:val="20"/>
          <w:color w:val="auto"/>
        </w:rPr>
      </w:pPr>
    </w:p>
    <w:p>
      <w:pPr>
        <w:ind w:left="1260" w:right="619"/>
        <w:spacing w:after="0" w:line="253" w:lineRule="auto"/>
        <w:tabs>
          <w:tab w:leader="none" w:pos="15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streaming service fees paid to online entertainers, (iii) cost of venue set-up and service fee paid to other parties for event production, (iv) depreciation of property and equipment and amortization of intangible asset related to our esports teams and talent management service, (v) cost of merchandise sold, and (vi) other costs attributable to our principal operations. For the years ended December 31, 2022 and 2023, our cost of revenues was US$62.1 million and US$76.5 million, respectively.</w:t>
      </w:r>
    </w:p>
    <w:p>
      <w:pPr>
        <w:spacing w:after="0" w:line="10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Cost of revenues of Ninjas in Pyjamas was US$4.0 million and US$3.7 million in 2021 and 2022, respectively, which consisted primarily of: (i) salaries and bonus paid to professional esports athletes, (ii) IP licensing fees paid to professional esports athletes, (iii) cost of merchandise sold, and (iv) other costs attributable to its principal operations.</w:t>
      </w:r>
    </w:p>
    <w:p>
      <w:pPr>
        <w:spacing w:after="0" w:line="11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cost of revenues of us and Ninjas in Pyjamas by business segments for the years indicated.</w:t>
      </w:r>
    </w:p>
    <w:p>
      <w:pPr>
        <w:sectPr>
          <w:pgSz w:w="11900" w:h="16838" w:orient="portrait"/>
          <w:cols w:equalWidth="0" w:num="1">
            <w:col w:w="9879"/>
          </w:cols>
          <w:pgMar w:left="580" w:top="97" w:right="1440" w:bottom="1440" w:gutter="0" w:footer="0" w:header="0"/>
        </w:sectPr>
      </w:pP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NIP Group Inc.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1600" w:type="dxa"/>
            <w:vAlign w:val="bottom"/>
            <w:gridSpan w:val="4"/>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Ninjas in Pyjamas</w:t>
            </w:r>
          </w:p>
        </w:tc>
      </w:tr>
      <w:tr>
        <w:trPr>
          <w:trHeight w:val="171"/>
        </w:trPr>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4"/>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r>
      <w:tr>
        <w:trPr>
          <w:trHeight w:val="214"/>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1600" w:type="dxa"/>
            <w:vAlign w:val="bottom"/>
            <w:gridSpan w:val="4"/>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0"/>
        </w:trPr>
        <w:tc>
          <w:tcPr>
            <w:tcW w:w="140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20"/>
                <w:szCs w:val="20"/>
                <w:color w:val="auto"/>
              </w:rPr>
            </w:pPr>
          </w:p>
        </w:tc>
        <w:tc>
          <w:tcPr>
            <w:tcW w:w="1220" w:type="dxa"/>
            <w:vAlign w:val="bottom"/>
            <w:gridSpan w:val="3"/>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7"/>
                <w:szCs w:val="17"/>
                <w:b w:val="1"/>
                <w:bCs w:val="1"/>
                <w:color w:val="auto"/>
                <w:vertAlign w:val="superscript"/>
              </w:rPr>
              <w:t>(2)</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171"/>
        </w:trPr>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214"/>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(Unaudited)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29"/>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4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560" w:type="dxa"/>
            <w:vAlign w:val="bottom"/>
          </w:tcPr>
          <w:p>
            <w:pPr>
              <w:jc w:val="right"/>
              <w:ind w:right="68"/>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42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620" w:type="dxa"/>
            <w:vAlign w:val="bottom"/>
          </w:tcPr>
          <w:p>
            <w:pPr>
              <w:jc w:val="right"/>
              <w:ind w:right="69"/>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w:t>
            </w: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-162560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-162560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-162560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-162560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-162560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-162560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-162560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-162560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-162560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40" w:hanging="40"/>
        <w:spacing w:after="0"/>
        <w:tabs>
          <w:tab w:leader="none" w:pos="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44" w:lineRule="exact"/>
        <w:rPr>
          <w:rFonts w:ascii="Times New Roman" w:cs="Times New Roman" w:eastAsia="Times New Roman" w:hAnsi="Times New Roman"/>
          <w:sz w:val="14"/>
          <w:szCs w:val="14"/>
          <w:b w:val="1"/>
          <w:bCs w:val="1"/>
          <w:color w:val="auto"/>
        </w:rPr>
      </w:pPr>
    </w:p>
    <w:p>
      <w:pPr>
        <w:ind w:left="40" w:hanging="40"/>
        <w:spacing w:after="0"/>
        <w:tabs>
          <w:tab w:leader="none" w:pos="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95" w:lineRule="exact"/>
        <w:rPr>
          <w:rFonts w:ascii="Times New Roman" w:cs="Times New Roman" w:eastAsia="Times New Roman" w:hAnsi="Times New Roman"/>
          <w:sz w:val="14"/>
          <w:szCs w:val="14"/>
          <w:b w:val="1"/>
          <w:bCs w:val="1"/>
          <w:color w:val="auto"/>
        </w:rPr>
      </w:pPr>
    </w:p>
    <w:p>
      <w:pPr>
        <w:ind w:left="40" w:hanging="40"/>
        <w:spacing w:after="0"/>
        <w:tabs>
          <w:tab w:leader="none" w:pos="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44" w:lineRule="exact"/>
        <w:rPr>
          <w:rFonts w:ascii="Times New Roman" w:cs="Times New Roman" w:eastAsia="Times New Roman" w:hAnsi="Times New Roman"/>
          <w:sz w:val="14"/>
          <w:szCs w:val="14"/>
          <w:b w:val="1"/>
          <w:bCs w:val="1"/>
          <w:color w:val="auto"/>
        </w:rPr>
      </w:pPr>
    </w:p>
    <w:p>
      <w:pPr>
        <w:ind w:left="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95" w:lineRule="exact"/>
        <w:rPr>
          <w:rFonts w:ascii="Times New Roman" w:cs="Times New Roman" w:eastAsia="Times New Roman" w:hAnsi="Times New Roman"/>
          <w:sz w:val="14"/>
          <w:szCs w:val="14"/>
          <w:b w:val="1"/>
          <w:bCs w:val="1"/>
          <w:color w:val="auto"/>
        </w:rPr>
      </w:pPr>
    </w:p>
    <w:p>
      <w:pPr>
        <w:ind w:left="40" w:hanging="40"/>
        <w:spacing w:after="0"/>
        <w:tabs>
          <w:tab w:leader="none" w:pos="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95" w:lineRule="exact"/>
        <w:rPr>
          <w:rFonts w:ascii="Times New Roman" w:cs="Times New Roman" w:eastAsia="Times New Roman" w:hAnsi="Times New Roman"/>
          <w:sz w:val="14"/>
          <w:szCs w:val="14"/>
          <w:b w:val="1"/>
          <w:bCs w:val="1"/>
          <w:color w:val="auto"/>
        </w:rPr>
      </w:pPr>
    </w:p>
    <w:p>
      <w:pPr>
        <w:ind w:left="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-137160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9360" w:space="20"/>
            <w:col w:w="4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Esports teams operation</w:t>
            </w:r>
          </w:p>
        </w:tc>
        <w:tc>
          <w:tcPr>
            <w:tcW w:w="212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auto"/>
              </w:rPr>
              <w:t>​​​17,776​​​​ 28.6​​​​21,433​​​​</w:t>
            </w:r>
          </w:p>
        </w:tc>
        <w:tc>
          <w:tcPr>
            <w:tcW w:w="11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32.6​​​​15,037​​​​</w:t>
            </w:r>
          </w:p>
        </w:tc>
        <w:tc>
          <w:tcPr>
            <w:tcW w:w="254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19.7​​​​3,963​​​​100.0​​​​3,657​​​​100.0​​​​</w:t>
            </w:r>
          </w:p>
        </w:tc>
      </w:tr>
      <w:tr>
        <w:trPr>
          <w:trHeight w:val="25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Talent management service</w:t>
            </w:r>
          </w:p>
        </w:tc>
        <w:tc>
          <w:tcPr>
            <w:tcW w:w="212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auto"/>
              </w:rPr>
              <w:t>​​​39,457​​​​ 63.5​​​​39,457​​​​</w:t>
            </w:r>
          </w:p>
        </w:tc>
        <w:tc>
          <w:tcPr>
            <w:tcW w:w="11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60.0​​​​53,438​​​​</w:t>
            </w:r>
          </w:p>
        </w:tc>
        <w:tc>
          <w:tcPr>
            <w:tcW w:w="158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69.8​​​​  —​​​​  —​​​​</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 production</w:t>
            </w:r>
          </w:p>
        </w:tc>
        <w:tc>
          <w:tcPr>
            <w:tcW w:w="1060" w:type="dxa"/>
            <w:vAlign w:val="bottom"/>
            <w:gridSpan w:val="4"/>
          </w:tcPr>
          <w:p>
            <w:pPr>
              <w:ind w:left="2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4,860</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perscript"/>
              </w:rPr>
              <w:t>7.9</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4,860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3"/>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7.4</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7,995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8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10.5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2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60" w:type="dxa"/>
            <w:vAlign w:val="bottom"/>
            <w:gridSpan w:val="30"/>
          </w:tcPr>
          <w:p>
            <w:pPr>
              <w:ind w:left="2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​62,093</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​100.0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​65,750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​100.0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​76,470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​100.0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​3,963</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​100.0</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​3,657</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perscript"/>
              </w:rPr>
              <w:t>​100.0</w:t>
            </w:r>
            <w:r>
              <w:rPr>
                <w:rFonts w:ascii="Times New Roman" w:cs="Times New Roman" w:eastAsia="Times New Roman" w:hAnsi="Times New Roman"/>
                <w:sz w:val="15"/>
                <w:szCs w:val="15"/>
                <w:color w:val="auto"/>
              </w:rPr>
              <w:t>​​​​</w:t>
            </w:r>
          </w:p>
        </w:tc>
      </w:tr>
      <w:tr>
        <w:trPr>
          <w:trHeight w:val="20"/>
        </w:trPr>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right="579" w:hanging="360"/>
        <w:spacing w:after="0" w:line="302" w:lineRule="auto"/>
        <w:tabs>
          <w:tab w:leader="none" w:pos="1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26" w:lineRule="exact"/>
        <w:rPr>
          <w:rFonts w:ascii="Times New Roman" w:cs="Times New Roman" w:eastAsia="Times New Roman" w:hAnsi="Times New Roman"/>
          <w:sz w:val="14"/>
          <w:szCs w:val="14"/>
          <w:color w:val="auto"/>
        </w:rPr>
      </w:pPr>
    </w:p>
    <w:p>
      <w:pPr>
        <w:ind w:left="1620" w:right="739" w:hanging="360"/>
        <w:spacing w:after="0" w:line="271" w:lineRule="auto"/>
        <w:tabs>
          <w:tab w:leader="none" w:pos="1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(i) selling and marketing expenses and (ii) general and administrative expenses. For the years ended December 31, 2022 and 2023, our operating expenses were US$11.8 million and US$21.9 million, respectively.</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Operating expenses of Ninjas in Pyjamas were US$3.4 million and US$3.2 million in 2021 and 2022, respectively.</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operating expenses of us and Ninjas in Pyjamas for the years indicated.</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expenses</w:t>
      </w:r>
    </w:p>
    <w:p>
      <w:pPr>
        <w:spacing w:after="0" w:line="31" w:lineRule="exact"/>
        <w:rPr>
          <w:sz w:val="20"/>
          <w:szCs w:val="20"/>
          <w:color w:val="auto"/>
        </w:rPr>
      </w:pPr>
    </w:p>
    <w:p>
      <w:pPr>
        <w:ind w:left="1620" w:hanging="17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NIP Group Inc.</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7"/>
              </w:rPr>
              <w:t>Ninjas in Pyjamas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4"/>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120" w:type="dxa"/>
            <w:vAlign w:val="bottom"/>
          </w:tcPr>
          <w:p>
            <w:pPr>
              <w:spacing w:after="0"/>
              <w:rPr>
                <w:sz w:val="14"/>
                <w:szCs w:val="14"/>
                <w:color w:val="auto"/>
              </w:rPr>
            </w:pPr>
          </w:p>
        </w:tc>
      </w:tr>
      <w:tr>
        <w:trPr>
          <w:trHeight w:val="214"/>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7"/>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p>
        </w:tc>
        <w:tc>
          <w:tcPr>
            <w:tcW w:w="1260" w:type="dxa"/>
            <w:vAlign w:val="bottom"/>
            <w:gridSpan w:val="3"/>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7"/>
                <w:szCs w:val="17"/>
                <w:b w:val="1"/>
                <w:bCs w:val="1"/>
                <w:color w:val="auto"/>
                <w:vertAlign w:val="superscript"/>
              </w:rPr>
              <w:t>(2)</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4"/>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5"/>
              </w:rPr>
              <w:t>(Unaudited)</w:t>
            </w:r>
            <w:r>
              <w:rPr>
                <w:rFonts w:ascii="Times New Roman" w:cs="Times New Roman" w:eastAsia="Times New Roman" w:hAnsi="Times New Roman"/>
                <w:sz w:val="17"/>
                <w:szCs w:val="17"/>
                <w:b w:val="1"/>
                <w:bCs w:val="1"/>
                <w:color w:val="auto"/>
                <w:w w:val="95"/>
                <w:vertAlign w:val="superscript"/>
              </w:rPr>
              <w:t>(1)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5"/>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24"/>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4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620" w:type="dxa"/>
            <w:vAlign w:val="bottom"/>
          </w:tcPr>
          <w:p>
            <w:pPr>
              <w:ind w:left="1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4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600" w:type="dxa"/>
            <w:vAlign w:val="bottom"/>
          </w:tcPr>
          <w:p>
            <w:pPr>
              <w:ind w:lef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(US$ in thousands, except for %)</w:t>
            </w: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-179705</wp:posOffset>
            </wp:positionV>
            <wp:extent cx="52120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-342265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-342265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-342265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-342265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-342265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-342265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-342265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-342265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-342265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-342265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5,495​​​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6,577​​​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26035</wp:posOffset>
            </wp:positionV>
            <wp:extent cx="5212080" cy="317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​15,273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​1,541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​1,495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46.6</w:t>
      </w:r>
      <w:r>
        <w:rPr>
          <w:rFonts w:ascii="Times New Roman" w:cs="Times New Roman" w:eastAsia="Times New Roman" w:hAnsi="Times New Roman"/>
          <w:sz w:val="18"/>
          <w:szCs w:val="18"/>
          <w:color w:val="auto"/>
        </w:rPr>
        <w:t>​​​</w:t>
      </w:r>
    </w:p>
    <w:p>
      <w:pPr>
        <w:ind w:left="20"/>
        <w:spacing w:after="0" w:line="23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​11,823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​15,031</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​21,850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​3,363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​3,208</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color w:val="auto"/>
          <w:vertAlign w:val="subscript"/>
        </w:rPr>
        <w:t>​​​</w:t>
      </w:r>
    </w:p>
    <w:p>
      <w:pPr>
        <w:spacing w:after="0" w:line="356" w:lineRule="exact"/>
        <w:rPr>
          <w:sz w:val="20"/>
          <w:szCs w:val="20"/>
          <w:color w:val="auto"/>
        </w:rPr>
      </w:pPr>
    </w:p>
    <w:p>
      <w:pPr>
        <w:sectPr>
          <w:pgSz w:w="11900" w:h="16838" w:orient="portrait"/>
          <w:cols w:equalWidth="0" w:num="2">
            <w:col w:w="3480" w:space="380"/>
            <w:col w:w="6019"/>
          </w:cols>
          <w:pgMar w:left="580" w:top="97" w:right="1440" w:bottom="1440" w:gutter="0" w:footer="0" w:header="0"/>
        </w:sectPr>
      </w:pPr>
    </w:p>
    <w:p>
      <w:pPr>
        <w:ind w:left="1620" w:right="579" w:hanging="360"/>
        <w:spacing w:after="0" w:line="322" w:lineRule="auto"/>
        <w:tabs>
          <w:tab w:leader="none" w:pos="1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ind w:left="1620" w:right="739" w:hanging="360"/>
        <w:spacing w:after="0" w:line="281" w:lineRule="auto"/>
        <w:tabs>
          <w:tab w:leader="none" w:pos="1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11"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selling and marketing expenses mainly consist of: (i) staff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(ii) advertising costs and market promotion expenses.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selling and marketing expenses of Ninjas in Pyjamas primarily consist of: (i) staff costs,</w:t>
      </w:r>
    </w:p>
    <w:p>
      <w:pPr>
        <w:spacing w:after="0" w:line="11" w:lineRule="exact"/>
        <w:rPr>
          <w:sz w:val="20"/>
          <w:szCs w:val="20"/>
          <w:color w:val="auto"/>
        </w:rPr>
      </w:pPr>
    </w:p>
    <w:p>
      <w:pPr>
        <w:ind w:left="1540" w:hanging="280"/>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and market promotion expenses, (iii) rent and amortization expenses, and</w:t>
      </w:r>
    </w:p>
    <w:p>
      <w:pPr>
        <w:ind w:left="1580" w:hanging="320"/>
        <w:spacing w:after="0"/>
        <w:tabs>
          <w:tab w:leader="none" w:pos="1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general and administrative expenses mainly consist of:</w:t>
      </w:r>
    </w:p>
    <w:p>
      <w:pPr>
        <w:spacing w:after="0" w:line="31" w:lineRule="exact"/>
        <w:rPr>
          <w:sz w:val="20"/>
          <w:szCs w:val="20"/>
          <w:color w:val="auto"/>
        </w:rPr>
      </w:pPr>
    </w:p>
    <w:p>
      <w:pPr>
        <w:ind w:left="1260" w:right="479"/>
        <w:spacing w:after="0"/>
        <w:tabs>
          <w:tab w:leader="none" w:pos="1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 (ii) staff costs, (iii) rental and depreciation expenses related to general and administrative functions, (iv) share-based compensation for our management and administrative employees, and (v) other corporate expenses.</w:t>
      </w:r>
    </w:p>
    <w:p>
      <w:pPr>
        <w:spacing w:after="0" w:line="117"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general and administrative expenses of Ninjas in Pyjamas primarily consist of: (i) staff costs, (ii) professional service fees, and (iii) other corporate expenses.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upon payments of dividends by the Company or its subsidiaries in the Cayman Islands to their shareholders, no withholding tax in the Cayman Islands will be imposed.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4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Our subsidiary in Hong Kong is subject to a two-tiered income tax rate for taxable income. The first HK $2 million of profits earned by a company is subject to be taxed at an income tax rate of 8.25%, while the remaining profits will continue to be taxed at the existing tax rate, 16.5%. Under the Hong Kong tax law, our subsidiary in Hong Kong is exempted from income tax on their foreign derived income and there are no withholding taxes in Hong Kong on remittance of dividends.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from January 1, 2008, the PRC’s statutory, Enterprise Income Tax (“EIT”) rate is 25%.</w:t>
      </w:r>
    </w:p>
    <w:p>
      <w:pPr>
        <w:spacing w:after="0" w:line="14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5" w:lineRule="auto"/>
        <w:rPr>
          <w:sz w:val="20"/>
          <w:szCs w:val="20"/>
          <w:color w:val="auto"/>
        </w:rPr>
      </w:pPr>
      <w:r>
        <w:rPr>
          <w:rFonts w:ascii="Times New Roman" w:cs="Times New Roman" w:eastAsia="Times New Roman" w:hAnsi="Times New Roman"/>
          <w:sz w:val="18"/>
          <w:szCs w:val="18"/>
          <w:color w:val="auto"/>
        </w:rPr>
        <w:t>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Swedish companies are subject to a corporate tax at a rate of 20.6% on the worldwide income, reduced by allowable deductions. All income, profits and taxable gains are treated as derived from a single source, the business of the company, and are taxed at the applicable corporate tax rate of 20.6%. Tax losses that cannot be offset during the years they are incurred are carried forward indefinitely. There are certain restrictions on tax losses carried forward in case of change of ownership. There is a general limitation of interest deduction amounting to 30% of EBITDA. In addition, there are strict limitations on interest on intra-group loans. The limitation implies that interest on intra-group loans is deductible only if the beneficial owner of the interest income is domiciled within the EEA, or in a country with which Sweden has concluded a full scope double tax treaty or if the beneficial owner is subject to a corporate tax of at least 10%. However, no tax deduction should be granted if the underlying purpose of the loan is exclusively or as good as exclusively, to obtain a substantial tax benefit. There are anti-hybrid mismatch rules in place covering situations leading to double deduction, double non-taxation or imported mismatches due to hybrid financial instruments and hybrid entities. Sweden does not levy withholding tax on interest payments or royalties.</w:t>
      </w:r>
    </w:p>
    <w:p>
      <w:pPr>
        <w:spacing w:after="0" w:line="343" w:lineRule="exact"/>
        <w:rPr>
          <w:sz w:val="20"/>
          <w:szCs w:val="20"/>
          <w:color w:val="auto"/>
        </w:rPr>
      </w:pPr>
    </w:p>
    <w:p>
      <w:pPr>
        <w:ind w:left="1260" w:right="619" w:firstLine="360"/>
        <w:spacing w:after="0" w:line="270" w:lineRule="auto"/>
        <w:rPr>
          <w:sz w:val="20"/>
          <w:szCs w:val="20"/>
          <w:color w:val="auto"/>
        </w:rPr>
      </w:pPr>
      <w:r>
        <w:rPr>
          <w:rFonts w:ascii="Times New Roman" w:cs="Times New Roman" w:eastAsia="Times New Roman" w:hAnsi="Times New Roman"/>
          <w:sz w:val="18"/>
          <w:szCs w:val="18"/>
          <w:color w:val="auto"/>
        </w:rPr>
        <w:t>Under the main rule, dividend distribution to a foreign shareholder is subject to Swedish withholding tax at a rate of 30%. There are several exemptions for corporate shareholders whereby withholding tax is not levied or levied at a lower rate. There is also an anti-abuse rule in place implying that the full rate of 30% applies if the recipient acts as a nominee or intermediary, and holds shares under such circumstances that the rightful (beneficial) owner unwarrantedly gains relief from withholding tax.</w:t>
      </w:r>
    </w:p>
    <w:p>
      <w:pPr>
        <w:spacing w:after="0" w:line="105" w:lineRule="exact"/>
        <w:rPr>
          <w:sz w:val="20"/>
          <w:szCs w:val="20"/>
          <w:color w:val="auto"/>
        </w:rPr>
      </w:pPr>
    </w:p>
    <w:p>
      <w:pPr>
        <w:jc w:val="both"/>
        <w:ind w:left="1260" w:right="579" w:firstLine="360"/>
        <w:spacing w:after="0" w:line="281" w:lineRule="auto"/>
        <w:rPr>
          <w:sz w:val="20"/>
          <w:szCs w:val="20"/>
          <w:color w:val="auto"/>
        </w:rPr>
      </w:pPr>
      <w:r>
        <w:rPr>
          <w:rFonts w:ascii="Times New Roman" w:cs="Times New Roman" w:eastAsia="Times New Roman" w:hAnsi="Times New Roman"/>
          <w:sz w:val="18"/>
          <w:szCs w:val="18"/>
          <w:color w:val="auto"/>
        </w:rPr>
        <w:t>Dividend distributions to NIP Group Inc. would be subject to a 30% withholding tax on the dividend amount. Sweden and the Cayman Islands do not have a double tax treaty for legal persons and there are no other mechanisms to reduce the withholding tax rate.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of Our Group</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both in absolute amounts and as percentages of our net revenues. This information should be read together with our consolidated financial statements and related notes included elsewhere in this prospectus. The operating results in any period are not necessarily indicative of the results that may be expected for any future period. For the operating results of Ninjas in Pyjamas, see “— Results of Operations of Ninjas in Pyjamas Prior to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9"/>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7"/>
                <w:szCs w:val="17"/>
                <w:b w:val="1"/>
                <w:bCs w:val="1"/>
                <w:color w:val="auto"/>
                <w:vertAlign w:val="superscript"/>
              </w:rPr>
              <w:t>(2)</w:t>
            </w:r>
          </w:p>
        </w:tc>
        <w:tc>
          <w:tcPr>
            <w:tcW w:w="340" w:type="dxa"/>
            <w:vAlign w:val="bottom"/>
          </w:tcPr>
          <w:p>
            <w:pPr>
              <w:spacing w:after="0"/>
              <w:rPr>
                <w:sz w:val="22"/>
                <w:szCs w:val="22"/>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51"/>
        </w:trPr>
        <w:tc>
          <w:tcPr>
            <w:tcW w:w="1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center"/>
              <w:ind w:right="32"/>
              <w:spacing w:after="0" w:line="151" w:lineRule="exact"/>
              <w:rPr>
                <w:sz w:val="20"/>
                <w:szCs w:val="20"/>
                <w:color w:val="auto"/>
              </w:rPr>
            </w:pPr>
            <w:r>
              <w:rPr>
                <w:rFonts w:ascii="Times New Roman" w:cs="Times New Roman" w:eastAsia="Times New Roman" w:hAnsi="Times New Roman"/>
                <w:sz w:val="14"/>
                <w:szCs w:val="14"/>
                <w:b w:val="1"/>
                <w:bCs w:val="1"/>
                <w:color w:val="auto"/>
                <w:w w:val="97"/>
              </w:rPr>
              <w:t>Pro Forma</w:t>
            </w: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(Unaudited)</w:t>
            </w:r>
            <w:r>
              <w:rPr>
                <w:rFonts w:ascii="Times New Roman" w:cs="Times New Roman" w:eastAsia="Times New Roman" w:hAnsi="Times New Roman"/>
                <w:sz w:val="17"/>
                <w:szCs w:val="17"/>
                <w:b w:val="1"/>
                <w:bCs w:val="1"/>
                <w:color w:val="auto"/>
                <w:w w:val="93"/>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p>
        </w:tc>
        <w:tc>
          <w:tcPr>
            <w:tcW w:w="56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 ​</w:t>
            </w:r>
          </w:p>
        </w:tc>
        <w:tc>
          <w:tcPr>
            <w:tcW w:w="720" w:type="dxa"/>
            <w:vAlign w:val="bottom"/>
            <w:gridSpan w:val="3"/>
          </w:tcPr>
          <w:p>
            <w:pPr>
              <w:jc w:val="right"/>
              <w:ind w:right="1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p>
        </w:tc>
        <w:tc>
          <w:tcPr>
            <w:tcW w:w="4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80" w:type="dxa"/>
            <w:vAlign w:val="bottom"/>
            <w:tcBorders>
              <w:right w:val="single" w:sz="8" w:color="auto"/>
            </w:tcBorders>
            <w:gridSpan w:val="6"/>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9"/>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8"/>
              </w:rPr>
              <w:t>(in thousands, except for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900" w:type="dxa"/>
            <w:vAlign w:val="bottom"/>
            <w:gridSpan w:val="1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65,835​​​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73,208​​​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83,668​​​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900" w:type="dxa"/>
            <w:vAlign w:val="bottom"/>
            <w:gridSpan w:val="19"/>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(62,093​​​)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(65,750​​​)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(89.8​​​)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(76,470​​​)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3,742​​​​</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w:t>
            </w:r>
          </w:p>
        </w:tc>
        <w:tc>
          <w:tcPr>
            <w:tcW w:w="12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7,458​​​​ 10.2​​​​</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7,198​​​​</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(5,495​​​)</w:t>
            </w: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r>
              <w:rPr>
                <w:rFonts w:ascii="Times New Roman" w:cs="Times New Roman" w:eastAsia="Times New Roman" w:hAnsi="Times New Roman"/>
                <w:sz w:val="18"/>
                <w:szCs w:val="18"/>
                <w:b w:val="1"/>
                <w:bCs w:val="1"/>
                <w:color w:val="auto"/>
              </w:rPr>
              <w:t>​</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r>
              <w:rPr>
                <w:rFonts w:ascii="Times New Roman" w:cs="Times New Roman" w:eastAsia="Times New Roman" w:hAnsi="Times New Roman"/>
                <w:sz w:val="18"/>
                <w:szCs w:val="18"/>
                <w:b w:val="1"/>
                <w:bCs w:val="1"/>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
              <w:spacing w:after="0" w:line="189" w:lineRule="exact"/>
              <w:rPr>
                <w:sz w:val="20"/>
                <w:szCs w:val="20"/>
                <w:color w:val="auto"/>
              </w:rPr>
            </w:pPr>
            <w:r>
              <w:rPr>
                <w:rFonts w:ascii="Times New Roman" w:cs="Times New Roman" w:eastAsia="Times New Roman" w:hAnsi="Times New Roman"/>
                <w:sz w:val="18"/>
                <w:szCs w:val="18"/>
                <w:color w:val="auto"/>
              </w:rPr>
              <w:t>(6,328)</w:t>
            </w:r>
          </w:p>
        </w:tc>
        <w:tc>
          <w:tcPr>
            <w:tcW w:w="80" w:type="dxa"/>
            <w:vAlign w:val="bottom"/>
          </w:tcPr>
          <w:p>
            <w:pPr>
              <w:spacing w:after="0"/>
              <w:rPr>
                <w:sz w:val="16"/>
                <w:szCs w:val="16"/>
                <w:color w:val="auto"/>
              </w:rPr>
            </w:pPr>
          </w:p>
        </w:tc>
        <w:tc>
          <w:tcPr>
            <w:tcW w:w="480" w:type="dxa"/>
            <w:vAlign w:val="bottom"/>
            <w:gridSpan w:val="2"/>
          </w:tcPr>
          <w:p>
            <w:pPr>
              <w:jc w:val="right"/>
              <w:ind w:right="24"/>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6"/>
                <w:szCs w:val="16"/>
                <w:color w:val="auto"/>
              </w:rPr>
            </w:pPr>
          </w:p>
        </w:tc>
        <w:tc>
          <w:tcPr>
            <w:tcW w:w="2380" w:type="dxa"/>
            <w:vAlign w:val="bottom"/>
            <w:gridSpan w:val="10"/>
          </w:tcPr>
          <w:p>
            <w:pPr>
              <w:jc w:val="right"/>
              <w:spacing w:after="0" w:line="189" w:lineRule="exact"/>
              <w:rPr>
                <w:sz w:val="20"/>
                <w:szCs w:val="20"/>
                <w:color w:val="auto"/>
              </w:rPr>
            </w:pPr>
            <w:r>
              <w:rPr>
                <w:rFonts w:ascii="Times New Roman" w:cs="Times New Roman" w:eastAsia="Times New Roman" w:hAnsi="Times New Roman"/>
                <w:sz w:val="18"/>
                <w:szCs w:val="18"/>
                <w:color w:val="auto"/>
              </w:rPr>
              <w:t>(7,823)  (10.7) (15,273)  (18.3)</w:t>
            </w:r>
          </w:p>
        </w:tc>
        <w:tc>
          <w:tcPr>
            <w:tcW w:w="20" w:type="dxa"/>
            <w:vAlign w:val="bottom"/>
          </w:tcPr>
          <w:p>
            <w:pPr>
              <w:spacing w:after="0"/>
              <w:rPr>
                <w:sz w:val="16"/>
                <w:szCs w:val="16"/>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2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gridSpan w:val="2"/>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720" w:type="dxa"/>
            <w:vAlign w:val="bottom"/>
            <w:gridSpan w:val="17"/>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(11,823) (18.0) (15,031) (20.5) (21,850) (26.2)</w:t>
            </w: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50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560" w:type="dxa"/>
            <w:vAlign w:val="bottom"/>
            <w:tcBorders>
              <w:left w:val="single" w:sz="8" w:color="CCEEFF"/>
            </w:tcBorders>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(8,081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(7,573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​(14,652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r>
              <w:rPr>
                <w:rFonts w:ascii="Times New Roman" w:cs="Times New Roman" w:eastAsia="Times New Roman" w:hAnsi="Times New Roman"/>
                <w:sz w:val="16"/>
                <w:szCs w:val="16"/>
                <w:b w:val="1"/>
                <w:bCs w:val="1"/>
                <w:color w:val="auto"/>
                <w:w w:val="74"/>
              </w:rPr>
              <w:t>)</w:t>
            </w:r>
          </w:p>
        </w:tc>
        <w:tc>
          <w:tcPr>
            <w:tcW w:w="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2,001​​​</w:t>
            </w: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1,989​​​</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716​​​</w:t>
            </w:r>
            <w:r>
              <w:rPr>
                <w:rFonts w:ascii="Times New Roman" w:cs="Times New Roman" w:eastAsia="Times New Roman" w:hAnsi="Times New Roman"/>
                <w:sz w:val="18"/>
                <w:szCs w:val="18"/>
                <w:b w:val="1"/>
                <w:bCs w:val="1"/>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
              <w:spacing w:after="0" w:line="189" w:lineRule="exact"/>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9"/>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700" w:type="dxa"/>
            <w:vAlign w:val="bottom"/>
            <w:tcBorders>
              <w:lef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Borders>
              <w:left w:val="single" w:sz="8" w:color="CCEEFF"/>
            </w:tcBorders>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shd w:val="clear" w:color="auto" w:fill="CCEEFF"/>
          </w:tcPr>
          <w:p>
            <w:pPr>
              <w:spacing w:after="0"/>
              <w:rPr>
                <w:sz w:val="4"/>
                <w:szCs w:val="4"/>
                <w:color w:val="auto"/>
              </w:rPr>
            </w:pPr>
          </w:p>
        </w:tc>
        <w:tc>
          <w:tcPr>
            <w:tcW w:w="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(6,445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​(14,459</w:t>
            </w:r>
          </w:p>
        </w:tc>
        <w:tc>
          <w:tcPr>
            <w:tcW w:w="140" w:type="dxa"/>
            <w:vAlign w:val="bottom"/>
            <w:vMerge w:val="continue"/>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200" w:type="dxa"/>
            <w:vAlign w:val="bottom"/>
            <w:gridSpan w:val="3"/>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9"/>
              <w:spacing w:after="0" w:line="189"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gridSpan w:val="2"/>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26"/>
              <w:spacing w:after="0" w:line="182" w:lineRule="exact"/>
              <w:rPr>
                <w:sz w:val="20"/>
                <w:szCs w:val="20"/>
                <w:color w:val="auto"/>
              </w:rPr>
            </w:pPr>
            <w:r>
              <w:rPr>
                <w:rFonts w:ascii="Times New Roman" w:cs="Times New Roman" w:eastAsia="Times New Roman" w:hAnsi="Times New Roman"/>
                <w:sz w:val="18"/>
                <w:szCs w:val="18"/>
                <w:b w:val="1"/>
                <w:bCs w:val="1"/>
                <w:color w:val="auto"/>
              </w:rPr>
              <w:t>(6,306)</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
              <w:spacing w:after="0" w:line="182" w:lineRule="exact"/>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9"/>
              <w:spacing w:after="0" w:line="182" w:lineRule="exact"/>
              <w:rPr>
                <w:sz w:val="20"/>
                <w:szCs w:val="20"/>
                <w:color w:val="auto"/>
              </w:rPr>
            </w:pPr>
            <w:r>
              <w:rPr>
                <w:rFonts w:ascii="Times New Roman" w:cs="Times New Roman" w:eastAsia="Times New Roman" w:hAnsi="Times New Roman"/>
                <w:sz w:val="18"/>
                <w:szCs w:val="18"/>
                <w:b w:val="1"/>
                <w:bCs w:val="1"/>
                <w:color w:val="auto"/>
                <w:w w:val="98"/>
              </w:rPr>
              <w:t>(6,050)</w:t>
            </w:r>
          </w:p>
        </w:tc>
        <w:tc>
          <w:tcPr>
            <w:tcW w:w="80" w:type="dxa"/>
            <w:vAlign w:val="bottom"/>
            <w:shd w:val="clear" w:color="auto" w:fill="CCEEFF"/>
          </w:tcPr>
          <w:p>
            <w:pPr>
              <w:spacing w:after="0"/>
              <w:rPr>
                <w:sz w:val="15"/>
                <w:szCs w:val="15"/>
                <w:color w:val="auto"/>
              </w:rPr>
            </w:pPr>
          </w:p>
        </w:tc>
        <w:tc>
          <w:tcPr>
            <w:tcW w:w="1660" w:type="dxa"/>
            <w:vAlign w:val="bottom"/>
            <w:gridSpan w:val="7"/>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(8.2) (13,258) (15.9)</w:t>
            </w: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560" w:type="dxa"/>
            <w:vAlign w:val="bottom"/>
            <w:tcBorders>
              <w:left w:val="single" w:sz="8" w:color="CCEEFF"/>
            </w:tcBorders>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NIP Group Inc</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(6,216​​​)</w:t>
            </w: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r>
              <w:rPr>
                <w:rFonts w:ascii="Times New Roman" w:cs="Times New Roman" w:eastAsia="Times New Roman" w:hAnsi="Times New Roman"/>
                <w:sz w:val="18"/>
                <w:szCs w:val="18"/>
                <w:b w:val="1"/>
                <w:bCs w:val="1"/>
                <w:color w:val="auto"/>
              </w:rPr>
              <w:t>​</w:t>
            </w:r>
          </w:p>
        </w:tc>
        <w:tc>
          <w:tcPr>
            <w:tcW w:w="16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(13,258​​​)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(15.9​​)</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4020" w:type="dxa"/>
            <w:vAlign w:val="bottom"/>
            <w:gridSpan w:val="20"/>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(25,297​​​)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(25,297​​​)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(43,915​​​)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NIP Group Inc.’s</w:t>
            </w:r>
          </w:p>
        </w:tc>
        <w:tc>
          <w:tcPr>
            <w:tcW w:w="4020" w:type="dxa"/>
            <w:vAlign w:val="bottom"/>
            <w:gridSpan w:val="20"/>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(31,513​​​)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(31,257​​​)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(57,173​​​)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w:t>
            </w:r>
          </w:p>
        </w:tc>
        <w:tc>
          <w:tcPr>
            <w:tcW w:w="4020" w:type="dxa"/>
            <w:vAlign w:val="bottom"/>
            <w:gridSpan w:val="20"/>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1"/>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attributable to</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 net of nil tax</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b w:val="1"/>
                <w:bCs w:val="1"/>
                <w:color w:val="auto"/>
              </w:rPr>
              <w:t>​</w:t>
            </w:r>
          </w:p>
        </w:tc>
        <w:tc>
          <w:tcPr>
            <w:tcW w:w="540" w:type="dxa"/>
            <w:vAlign w:val="bottom"/>
            <w:gridSpan w:val="4"/>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attributable to</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 shareholders, net of nil tax</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178​​​</w:t>
            </w: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5,253​​​</w:t>
            </w:r>
            <w:r>
              <w:rPr>
                <w:rFonts w:ascii="Times New Roman" w:cs="Times New Roman" w:eastAsia="Times New Roman" w:hAnsi="Times New Roman"/>
                <w:sz w:val="18"/>
                <w:szCs w:val="18"/>
                <w:b w:val="1"/>
                <w:bCs w:val="1"/>
                <w:color w:val="auto"/>
              </w:rPr>
              <w:t>​</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(6,126) ​</w:t>
            </w:r>
          </w:p>
        </w:tc>
        <w:tc>
          <w:tcPr>
            <w:tcW w:w="56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(9.3) ​</w:t>
            </w:r>
          </w:p>
        </w:tc>
        <w:tc>
          <w:tcPr>
            <w:tcW w:w="7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(6,290) ​</w:t>
            </w:r>
          </w:p>
        </w:tc>
        <w:tc>
          <w:tcPr>
            <w:tcW w:w="48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(8.5) ​</w:t>
            </w:r>
          </w:p>
        </w:tc>
        <w:tc>
          <w:tcPr>
            <w:tcW w:w="780" w:type="dxa"/>
            <w:vAlign w:val="bottom"/>
            <w:tcBorders>
              <w:lef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(8,005) ​</w:t>
            </w:r>
          </w:p>
        </w:tc>
        <w:tc>
          <w:tcPr>
            <w:tcW w:w="4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(9.6)</w:t>
            </w: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22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50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34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w:t>
            </w:r>
          </w:p>
        </w:tc>
        <w:tc>
          <w:tcPr>
            <w:tcW w:w="48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32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560" w:type="dxa"/>
            <w:vAlign w:val="bottom"/>
            <w:tcBorders>
              <w:left w:val="single" w:sz="8" w:color="CCEEFF"/>
            </w:tcBorders>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340" w:type="dxa"/>
            <w:vAlign w:val="bottom"/>
            <w:shd w:val="clear" w:color="auto" w:fill="CCEEFF"/>
          </w:tcPr>
          <w:p>
            <w:pPr>
              <w:spacing w:after="0"/>
              <w:rPr>
                <w:sz w:val="5"/>
                <w:szCs w:val="5"/>
                <w:color w:val="auto"/>
              </w:rPr>
            </w:pPr>
          </w:p>
        </w:tc>
        <w:tc>
          <w:tcPr>
            <w:tcW w:w="80" w:type="dxa"/>
            <w:vAlign w:val="bottom"/>
            <w:gridSpan w:val="2"/>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-273685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-273685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-273685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-273685</wp:posOffset>
            </wp:positionV>
            <wp:extent cx="94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-273685</wp:posOffset>
            </wp:positionV>
            <wp:extent cx="35572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-1851025</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-1851025</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-1851025</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-1851025</wp:posOffset>
            </wp:positionV>
            <wp:extent cx="94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35572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-2150745</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-2150745</wp:posOffset>
            </wp:positionV>
            <wp:extent cx="93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-2150745</wp:posOffset>
            </wp:positionV>
            <wp:extent cx="93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-2150745</wp:posOffset>
            </wp:positionV>
            <wp:extent cx="946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-2150745</wp:posOffset>
            </wp:positionV>
            <wp:extent cx="35572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-3051175</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-3051175</wp:posOffset>
            </wp:positionV>
            <wp:extent cx="93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-3051175</wp:posOffset>
            </wp:positionV>
            <wp:extent cx="93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-3051175</wp:posOffset>
            </wp:positionV>
            <wp:extent cx="946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-3051175</wp:posOffset>
            </wp:positionV>
            <wp:extent cx="35572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-4070985</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-4070985</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-4070985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-4070985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-4070985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-4491355</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579" w:hanging="360"/>
        <w:spacing w:after="0" w:line="302" w:lineRule="auto"/>
        <w:tabs>
          <w:tab w:leader="none" w:pos="16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13" w:lineRule="exact"/>
        <w:rPr>
          <w:rFonts w:ascii="Times New Roman" w:cs="Times New Roman" w:eastAsia="Times New Roman" w:hAnsi="Times New Roman"/>
          <w:sz w:val="14"/>
          <w:szCs w:val="14"/>
          <w:color w:val="auto"/>
        </w:rPr>
      </w:pPr>
    </w:p>
    <w:p>
      <w:pPr>
        <w:ind w:left="1620" w:right="739" w:hanging="360"/>
        <w:spacing w:after="0" w:line="271" w:lineRule="auto"/>
        <w:tabs>
          <w:tab w:leader="none" w:pos="16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net revenues increased from US$65.8 million in 2022 to US$83.7 million in 2023, as we recorded increase in revenues generated from our talent management service and event production, while revenues generated from our esports teams operation remained relatively stable.</w:t>
      </w:r>
    </w:p>
    <w:p>
      <w:pPr>
        <w:spacing w:after="0" w:line="59" w:lineRule="exact"/>
        <w:rPr>
          <w:sz w:val="20"/>
          <w:szCs w:val="20"/>
          <w:color w:val="auto"/>
        </w:rPr>
      </w:pPr>
    </w:p>
    <w:p>
      <w:pPr>
        <w:ind w:left="1800" w:right="419" w:hanging="180"/>
        <w:spacing w:after="0" w:line="25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Net revenues from esports teams operation remained relatively stable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US$21.7 million in 2022 and 2023, and in particular, (i) revenues generated from IP licensing increased from US$0.4 million in 2022 to US$3.5 million in 2023, primarily driven by revenues generated from IP licensing of Ninjas in Pyjamas, which were not included in our consolidated results of operations until after the business combination in January 2023, and (ii) the sponsorship and advertising fees increased from US$5.7 million in 2022 to US$8.1 million in 2023, which mainly included those of Ninjas in Pyjamas following the business combination in January 2023. The</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6" w:lineRule="auto"/>
        <w:rPr>
          <w:sz w:val="20"/>
          <w:szCs w:val="20"/>
          <w:color w:val="auto"/>
        </w:rPr>
      </w:pPr>
      <w:r>
        <w:rPr>
          <w:rFonts w:ascii="Times New Roman" w:cs="Times New Roman" w:eastAsia="Times New Roman" w:hAnsi="Times New Roman"/>
          <w:sz w:val="18"/>
          <w:szCs w:val="18"/>
          <w:color w:val="auto"/>
        </w:rPr>
        <w:t>increases were primarily offset by (i) the decrease in league revenue share and prize money from US$11.1 million in 2022 to US$7.7 million in 2023, mainly attributable to the decrease in the prize money because eStar did not achieve the same level of top performance in 2023 KPL tournaments as it did in 2022, and (ii) the decrease in athlete transfer and rental fees from US$2.9 million in 2022 to US$0.9 million in 2023, primarily because we generated less revenues from KPL athletes transfer in 2023 to prepare for the Hangzhou 2023 Asian Games.</w:t>
      </w:r>
    </w:p>
    <w:p>
      <w:pPr>
        <w:spacing w:after="0" w:line="77" w:lineRule="exact"/>
        <w:rPr>
          <w:sz w:val="20"/>
          <w:szCs w:val="20"/>
          <w:color w:val="auto"/>
        </w:rPr>
      </w:pPr>
    </w:p>
    <w:p>
      <w:pPr>
        <w:jc w:val="both"/>
        <w:ind w:left="1800" w:right="479" w:hanging="180"/>
        <w:spacing w:after="0" w:line="267"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w:t>
      </w:r>
      <w:r>
        <w:rPr>
          <w:rFonts w:ascii="Times New Roman" w:cs="Times New Roman" w:eastAsia="Times New Roman" w:hAnsi="Times New Roman"/>
          <w:sz w:val="18"/>
          <w:szCs w:val="18"/>
          <w:color w:val="auto"/>
        </w:rPr>
        <w:t>. Net revenues from talent management service increased from US$38.6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2022 to US$52.6 million in 2023, primarily driven by the deepened collaboration we formed with Huya in 2023.</w:t>
      </w:r>
    </w:p>
    <w:p>
      <w:pPr>
        <w:spacing w:after="0" w:line="7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Net revenues from events production increased from US$5.6 million in 2022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US$9.4 million in 2023, primarily because we managed to host more events in 2023 driven by the successful integration of internal and external resources in 2023 and the gradual lifting of COVID-19 restrictions in China since December 2022.</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cost of revenues increased from US$62.1 million in 2022 to US$76.5 million in 2023, primarily due to the increase in cost of revenues of our talent management and event production businesses, partially offset by the decrease in that of our esports teams operation business.</w:t>
      </w:r>
    </w:p>
    <w:p>
      <w:pPr>
        <w:spacing w:after="0" w:line="66"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Cost of revenues from esports teams operation decreased from</w:t>
      </w:r>
    </w:p>
    <w:p>
      <w:pPr>
        <w:spacing w:after="0" w:line="29" w:lineRule="exact"/>
        <w:rPr>
          <w:rFonts w:ascii="Times New Roman" w:cs="Times New Roman" w:eastAsia="Times New Roman" w:hAnsi="Times New Roman"/>
          <w:sz w:val="18"/>
          <w:szCs w:val="18"/>
          <w:color w:val="auto"/>
        </w:rPr>
      </w:pPr>
    </w:p>
    <w:p>
      <w:pPr>
        <w:ind w:left="180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US$17.8 million in 2022 to US$15.0 million in 2023, primarily due to (i) the decrease in salaries of professional esports athletes from US$9.0 million in 2022 to US$7.0 million in 2023, which mainly represented the corresponding salary decrease among LPL athletes that partially offset by the increase in employee salaries of Ninjas in Pyjamas following the business combination in January 2023, and (ii) the decrease in prize money paid to professional esports athletes from US$4.2 million in 2022 to US$0.9 million in 2023, mainly attributable to the decrease in the prize money because eStar did not achieve the same level of top performance in 2023 KPL tournaments as it did in 2022. The decrease in cost of revenues was partially offset by the increase in other cost of revenues from US$4.6 million in 2022 to US$7.1 million in 2023, which mainly consisted of IP licensing fees paid to athletes under Ninjas in Pyjamas.</w:t>
      </w:r>
    </w:p>
    <w:p>
      <w:pPr>
        <w:spacing w:after="0" w:line="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w:t>
      </w:r>
      <w:r>
        <w:rPr>
          <w:rFonts w:ascii="Times New Roman" w:cs="Times New Roman" w:eastAsia="Times New Roman" w:hAnsi="Times New Roman"/>
          <w:sz w:val="18"/>
          <w:szCs w:val="18"/>
          <w:color w:val="auto"/>
        </w:rPr>
        <w:t>.  Cost of revenues from talent management service increased from</w:t>
      </w:r>
    </w:p>
    <w:p>
      <w:pPr>
        <w:spacing w:after="0" w:line="29" w:lineRule="exact"/>
        <w:rPr>
          <w:rFonts w:ascii="Times New Roman" w:cs="Times New Roman" w:eastAsia="Times New Roman" w:hAnsi="Times New Roman"/>
          <w:sz w:val="18"/>
          <w:szCs w:val="18"/>
          <w:color w:val="auto"/>
        </w:rPr>
      </w:pPr>
    </w:p>
    <w:p>
      <w:pPr>
        <w:ind w:left="180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US$39.5 million in 2022 to US$53.4 million in 2023, primarily due to the increase in live streaming service fee paid to online entertainers, which was in line with the increase in revenues generated from live streaming activities in 2023.</w:t>
      </w:r>
    </w:p>
    <w:p>
      <w:pPr>
        <w:spacing w:after="0" w:line="75" w:lineRule="exact"/>
        <w:rPr>
          <w:rFonts w:ascii="Times New Roman" w:cs="Times New Roman" w:eastAsia="Times New Roman" w:hAnsi="Times New Roman"/>
          <w:sz w:val="18"/>
          <w:szCs w:val="18"/>
          <w:color w:val="auto"/>
        </w:rPr>
      </w:pPr>
    </w:p>
    <w:p>
      <w:pPr>
        <w:ind w:left="1800" w:right="519" w:hanging="180"/>
        <w:spacing w:after="0" w:line="267"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Cost of revenues from events production increased from US$4.9 million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US$8.0 million in 2023, which was in line with the increase in revenues recognized from event production business.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Profit/Loss and Gross Profit Margin</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gross profit of US$3.7 million and US$7.2 million in 2022 and 2023, respectively. Our gross profit margin increased from 5.7% in 2022 to 8.6% in 2023.</w:t>
      </w:r>
    </w:p>
    <w:p>
      <w:pPr>
        <w:spacing w:after="0" w:line="52" w:lineRule="exact"/>
        <w:rPr>
          <w:sz w:val="20"/>
          <w:szCs w:val="20"/>
          <w:color w:val="auto"/>
        </w:rPr>
      </w:pPr>
    </w:p>
    <w:p>
      <w:pPr>
        <w:ind w:left="1800" w:right="519" w:hanging="180"/>
        <w:spacing w:after="0" w:line="258"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Esports teams operation. </w:t>
      </w:r>
      <w:r>
        <w:rPr>
          <w:rFonts w:ascii="Times New Roman" w:cs="Times New Roman" w:eastAsia="Times New Roman" w:hAnsi="Times New Roman"/>
          <w:sz w:val="18"/>
          <w:szCs w:val="18"/>
          <w:color w:val="auto"/>
        </w:rPr>
        <w:t>Gross profit from esports teams operation increased from US$3.9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2022 to US$6.6 million in 2023, and the gross profit margin increased from 18.1% in 2022 to 30.6% in 2023, primarily due to (i) the business combination with Ninjas in Pyjamas in</w:t>
      </w: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2023, as Ninjas in Pyjamas had a higher margin that contributed to the overall gross margin increase, and (ii) a decrease in salaries paid to our LPL athletes in 2023.</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Talent management.  </w:t>
      </w:r>
      <w:r>
        <w:rPr>
          <w:rFonts w:ascii="Times New Roman" w:cs="Times New Roman" w:eastAsia="Times New Roman" w:hAnsi="Times New Roman"/>
          <w:sz w:val="18"/>
          <w:szCs w:val="18"/>
          <w:color w:val="auto"/>
        </w:rPr>
        <w:t>Gross loss from talent management service slightly decreased from</w:t>
      </w:r>
    </w:p>
    <w:p>
      <w:pPr>
        <w:spacing w:after="0" w:line="29" w:lineRule="exact"/>
        <w:rPr>
          <w:rFonts w:ascii="Times New Roman" w:cs="Times New Roman" w:eastAsia="Times New Roman" w:hAnsi="Times New Roman"/>
          <w:sz w:val="18"/>
          <w:szCs w:val="18"/>
          <w:color w:val="auto"/>
        </w:rPr>
      </w:pPr>
    </w:p>
    <w:p>
      <w:pPr>
        <w:jc w:val="both"/>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US$0.9 million in 2022 to US$0.8 million in 2023, with the gross margin improving from negative 2.3% in 2022 to negative 1.6% in 2023, primarily due to the increased economies of scale in 2023.</w:t>
      </w:r>
    </w:p>
    <w:p>
      <w:pPr>
        <w:spacing w:after="0" w:line="71" w:lineRule="exact"/>
        <w:rPr>
          <w:rFonts w:ascii="Times New Roman" w:cs="Times New Roman" w:eastAsia="Times New Roman" w:hAnsi="Times New Roman"/>
          <w:sz w:val="18"/>
          <w:szCs w:val="18"/>
          <w:color w:val="auto"/>
        </w:rPr>
      </w:pPr>
    </w:p>
    <w:p>
      <w:pPr>
        <w:ind w:left="1800" w:right="439" w:hanging="180"/>
        <w:spacing w:after="0" w:line="284"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Gross profit from event production increased from US$0.7 million in 2022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US$1.4 million in 2023, and the gross profit margin increased from 12.6% in 2022 to 15.0% in 2023,</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97" w:lineRule="auto"/>
        <w:rPr>
          <w:sz w:val="20"/>
          <w:szCs w:val="20"/>
          <w:color w:val="auto"/>
        </w:rPr>
      </w:pPr>
      <w:r>
        <w:rPr>
          <w:rFonts w:ascii="Times New Roman" w:cs="Times New Roman" w:eastAsia="Times New Roman" w:hAnsi="Times New Roman"/>
          <w:sz w:val="18"/>
          <w:szCs w:val="18"/>
          <w:color w:val="auto"/>
        </w:rPr>
        <w:t>mainly as a result of new large-scale esports events with higher average margin we hosted in 2023, and the increased economies of scale and higher operating efficiency in the same year.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operating expenses increased from US$11.8 million in 2022 to US$21.9 million in 2023.</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increased from US$5.5 million in 2022 to US$6.6 million in 2023, primarily because the expenses incurred by Ninjas in Pyjamas were not included in our consolidated results of operations until after the business combination in January 2023. The increase in our selling and marketing expenses was primarily attributable to the increase in staff costs from US$2.7 million in 2022 to US$3.6 million in 2023. Our selling and marketing expenses as percentage of our net revenues decreased from 8.4% in 2022 to 7.9% in 2023, as a result of the improvement in our operating efficiency.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Our general and administrative expenses increased from US$6.3 million in 2022 to US$15.3 million in 2023, mainly due to (i) the increase in share-based compensation for our management and administrative employees from US$0.2 million in 2022 to US$6.1 million in 2023, as we granted share-based compensation to a management member in January 2023, (ii) the increase in professional service fees from US$1.6 million in 2022 to US$2.4 million, mainly representing the professional service fees in relation to this offering, and (iii) the increase in staff costs from US$2.4 million in 2022 to US$3.8 million in 2023, with the latter including those paid to employees of Ninjas in Pyjamas. Our general and administrative expenses excluding share-based compensation for our management and administrative employees as percentage of our net revenues increased slightly from 9.4% in 2022 to 10.9% in 2023.</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decreased from US$1.6 million in 2022 to US$0.2 million in 2023, primarily because</w:t>
      </w:r>
    </w:p>
    <w:p>
      <w:pPr>
        <w:spacing w:after="0" w:line="27" w:lineRule="exact"/>
        <w:rPr>
          <w:sz w:val="20"/>
          <w:szCs w:val="20"/>
          <w:color w:val="auto"/>
        </w:rPr>
      </w:pPr>
    </w:p>
    <w:p>
      <w:pPr>
        <w:jc w:val="both"/>
        <w:ind w:left="1260" w:right="439"/>
        <w:spacing w:after="0" w:line="271" w:lineRule="auto"/>
        <w:tabs>
          <w:tab w:leader="none" w:pos="14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one-off waiver of US$0.9 million of tournament league seat fee occurred in 2022, while we did not have such wavier in 2023, and (ii) we incurred an overdue fine of US$0.3 million in 2023 mainly due to the delayed payment of the LPL league seat fee.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48"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As a result of the foregoing, our net loss increased from US$6.3 million in 2022 to US$13.3 million in 2023.</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of Ninjas in Pyjamas Prior to Consolidation</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The following table sets forth a summary of the consolidated results of operations of Ninjas in Pyjamas for the years presented, both in absolute amount and as a percentage of the total revenues for the years presented. This information should be read together with the consolidated financial statements of Ninjas in Pyjamas and related notes included elsewhere in this prospectus. The results of operations in any year are not necessarily indicative of our future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revenue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Selling and marketing expenses</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income/(expenses), net:</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income/(expenses),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Financial income/(expenses), net</w:t>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US$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bottom w:val="single" w:sz="8" w:color="auto"/>
            </w:tcBorders>
          </w:tcPr>
          <w:p>
            <w:pPr>
              <w:jc w:val="right"/>
              <w:ind w:right="52"/>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3"/>
        </w:trPr>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9,398​​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7,373​​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-307975</wp:posOffset>
            </wp:positionV>
            <wp:extent cx="137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-307975</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-307975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0" w:hanging="111"/>
        <w:spacing w:after="0"/>
        <w:tabs>
          <w:tab w:leader="none" w:pos="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​(3,963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​(42.2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​(3,657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​(49.6</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5,435</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57.8</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3,716</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50.4</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tabs>
          <w:tab w:leader="none" w:pos="680" w:val="left"/>
          <w:tab w:leader="none" w:pos="1320" w:val="left"/>
          <w:tab w:leader="none" w:pos="2020" w:val="left"/>
          <w:tab w:leader="none" w:pos="264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160" w:hanging="111"/>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w:t>
      </w:r>
    </w:p>
    <w:p>
      <w:pPr>
        <w:spacing w:after="0" w:line="22" w:lineRule="exact"/>
        <w:rPr>
          <w:rFonts w:ascii="Times New Roman" w:cs="Times New Roman" w:eastAsia="Times New Roman" w:hAnsi="Times New Roman"/>
          <w:sz w:val="18"/>
          <w:szCs w:val="18"/>
          <w:color w:val="auto"/>
        </w:rPr>
      </w:pPr>
    </w:p>
    <w:p>
      <w:pPr>
        <w:ind w:left="160" w:hanging="111"/>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​(1,541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​(1,495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60" w:hanging="111"/>
        <w:spacing w:after="0"/>
        <w:tabs>
          <w:tab w:leader="none" w:pos="1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​(3,363</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​(35.8</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​(3,208</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​(43.5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2,072​​</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22.0​​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20"/>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0"/>
        </w:trPr>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0.5</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(95)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54"/>
        </w:trPr>
        <w:tc>
          <w:tcPr>
            <w:tcW w:w="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0.7</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jc w:val="right"/>
              <w:ind w:right="16"/>
              <w:spacing w:after="0" w:line="182" w:lineRule="exact"/>
              <w:rPr>
                <w:sz w:val="20"/>
                <w:szCs w:val="20"/>
                <w:color w:val="auto"/>
              </w:rPr>
            </w:pPr>
            <w:r>
              <w:rPr>
                <w:rFonts w:ascii="Times New Roman" w:cs="Times New Roman" w:eastAsia="Times New Roman" w:hAnsi="Times New Roman"/>
                <w:sz w:val="18"/>
                <w:szCs w:val="18"/>
                <w:b w:val="1"/>
                <w:bCs w:val="1"/>
                <w:color w:val="auto"/>
              </w:rPr>
              <w:t>(107)</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54"/>
        </w:trPr>
        <w:tc>
          <w:tcPr>
            <w:tcW w:w="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2,142​​</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22.7​​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180"/>
        </w:trPr>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(466)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5"/>
              <w:spacing w:after="0" w:line="181"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5"/>
                <w:szCs w:val="15"/>
                <w:color w:val="auto"/>
              </w:rPr>
            </w:pPr>
          </w:p>
        </w:tc>
        <w:tc>
          <w:tcPr>
            <w:tcW w:w="5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(145)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54"/>
        </w:trPr>
        <w:tc>
          <w:tcPr>
            <w:tcW w:w="3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38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​1,676</w:t>
            </w:r>
            <w:r>
              <w:rPr>
                <w:rFonts w:ascii="Times New Roman" w:cs="Times New Roman" w:eastAsia="Times New Roman" w:hAnsi="Times New Roman"/>
                <w:sz w:val="25"/>
                <w:szCs w:val="25"/>
                <w:b w:val="1"/>
                <w:bCs w:val="1"/>
                <w:color w:val="auto"/>
                <w:vertAlign w:val="subscript"/>
              </w:rPr>
              <w:t>​​</w:t>
            </w:r>
          </w:p>
        </w:tc>
        <w:tc>
          <w:tcPr>
            <w:tcW w:w="840" w:type="dxa"/>
            <w:vAlign w:val="bottom"/>
            <w:gridSpan w:val="5"/>
          </w:tcPr>
          <w:p>
            <w:pPr>
              <w:jc w:val="right"/>
              <w:ind w:righ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17.7</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4"/>
                <w:szCs w:val="14"/>
                <w:b w:val="1"/>
                <w:bCs w:val="1"/>
                <w:color w:val="auto"/>
              </w:rPr>
              <w:t>256</w:t>
            </w:r>
            <w:r>
              <w:rPr>
                <w:rFonts w:ascii="Times New Roman" w:cs="Times New Roman" w:eastAsia="Times New Roman" w:hAnsi="Times New Roman"/>
                <w:sz w:val="25"/>
                <w:szCs w:val="25"/>
                <w:b w:val="1"/>
                <w:bCs w:val="1"/>
                <w:color w:val="auto"/>
                <w:vertAlign w:val="subscript"/>
              </w:rPr>
              <w:t>​​</w:t>
            </w:r>
          </w:p>
        </w:tc>
        <w:tc>
          <w:tcPr>
            <w:tcW w:w="18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5"/>
                <w:szCs w:val="25"/>
                <w:b w:val="1"/>
                <w:bCs w:val="1"/>
                <w:color w:val="auto"/>
                <w:vertAlign w:val="superscript"/>
              </w:rPr>
              <w:t>​</w:t>
            </w:r>
          </w:p>
        </w:tc>
        <w:tc>
          <w:tcPr>
            <w:tcW w:w="3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b w:val="1"/>
                <w:bCs w:val="1"/>
                <w:color w:val="auto"/>
              </w:rPr>
              <w:t>3.4</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3" w:lineRule="exact"/>
        <w:rPr>
          <w:sz w:val="20"/>
          <w:szCs w:val="20"/>
          <w:color w:val="auto"/>
        </w:rPr>
      </w:pPr>
    </w:p>
    <w:p>
      <w:pPr>
        <w:sectPr>
          <w:pgSz w:w="11900" w:h="16838" w:orient="portrait"/>
          <w:cols w:equalWidth="0" w:num="2">
            <w:col w:w="6080" w:space="720"/>
            <w:col w:w="3079"/>
          </w:cols>
          <w:pgMar w:left="580" w:top="97" w:right="1440" w:bottom="1440" w:gutter="0" w:footer="0" w:header="0"/>
        </w:sect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U.S. GAAP, we use the following non-GAAP financial measure to understand and evaluate our core operating performance: adjusted EBITDA, which is calculated as net loss excluding interest expense, net, income tax (benefit) expense, depreciation and amortization and share-based compensation expense. The non-GAAP financial measure is presented to enhance investors’ overall understanding of our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non-GAAP financial measure his material limitations as an analytical metric and may not be calculated in the same manner by all companies, it may not be comparable to other similarly titled measures used by other companies. In light of the foregoing limitations, you should not consider non-GAAP financial measure as a substitute for, or superior to, such metrics prepared in accordance with GAAP. We encourage investors and others to review our financial information in its entirety and not rely on any single financial measure.</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2023</w:t>
            </w:r>
            <w:r>
              <w:rPr>
                <w:rFonts w:ascii="Times New Roman" w:cs="Times New Roman" w:eastAsia="Times New Roman" w:hAnsi="Times New Roman"/>
                <w:sz w:val="17"/>
                <w:szCs w:val="17"/>
                <w:b w:val="1"/>
                <w:bCs w:val="1"/>
                <w:color w:val="auto"/>
                <w:w w:val="92"/>
                <w:vertAlign w:val="superscript"/>
              </w:rPr>
              <w:t>(4)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4"/>
        </w:trPr>
        <w:tc>
          <w:tcPr>
            <w:tcW w:w="4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2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gridSpan w:val="5"/>
          </w:tcPr>
          <w:p>
            <w:pPr>
              <w:ind w:left="16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Actual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(Unaudited)</w:t>
            </w:r>
            <w:r>
              <w:rPr>
                <w:rFonts w:ascii="Times New Roman" w:cs="Times New Roman" w:eastAsia="Times New Roman" w:hAnsi="Times New Roman"/>
                <w:sz w:val="16"/>
                <w:szCs w:val="16"/>
                <w:b w:val="1"/>
                <w:bCs w:val="1"/>
                <w:color w:val="auto"/>
                <w:vertAlign w:val="superscript"/>
              </w:rPr>
              <w:t>(3)</w:t>
            </w:r>
          </w:p>
        </w:tc>
        <w:tc>
          <w:tcPr>
            <w:tcW w:w="2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7"/>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(US$ in thousands, except for %)</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b w:val="1"/>
                <w:bCs w:val="1"/>
                <w:color w:val="auto"/>
              </w:rPr>
              <w:t>​​​(6,306​​​)</w:t>
            </w: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​(6,050)</w:t>
            </w:r>
          </w:p>
        </w:tc>
        <w:tc>
          <w:tcPr>
            <w:tcW w:w="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​​​​(13,258</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(1,201​)</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240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5,266​​​</w:t>
            </w: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5,694</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276</w:t>
            </w:r>
          </w:p>
        </w:tc>
        <w:tc>
          <w:tcPr>
            <w:tcW w:w="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(1,731</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31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(2)</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0.4</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-1431925</wp:posOffset>
            </wp:positionV>
            <wp:extent cx="4540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4025" cy="88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-1431925</wp:posOffset>
            </wp:positionV>
            <wp:extent cx="85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85090</wp:posOffset>
            </wp:positionV>
            <wp:extent cx="12344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819" w:hanging="360"/>
        <w:spacing w:after="0" w:line="302" w:lineRule="auto"/>
        <w:tabs>
          <w:tab w:leader="none" w:pos="1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primarily consists of depreciation related to property and equipment, as well as amortization related to intangible assets.</w:t>
      </w:r>
    </w:p>
    <w:p>
      <w:pPr>
        <w:sectPr>
          <w:pgSz w:w="11900" w:h="16838" w:orient="portrait"/>
          <w:cols w:equalWidth="0" w:num="1">
            <w:col w:w="9879"/>
          </w:cols>
          <w:pgMar w:left="580" w:top="97" w:right="1440" w:bottom="1440" w:gutter="0" w:footer="0" w:header="0"/>
          <w:type w:val="continuous"/>
        </w:sect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hanging="360"/>
        <w:spacing w:after="0"/>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is calculated by dividing adjusted EBITDA by net revenues.</w:t>
      </w:r>
    </w:p>
    <w:p>
      <w:pPr>
        <w:spacing w:after="0" w:line="95" w:lineRule="exact"/>
        <w:rPr>
          <w:rFonts w:ascii="Times New Roman" w:cs="Times New Roman" w:eastAsia="Times New Roman" w:hAnsi="Times New Roman"/>
          <w:sz w:val="14"/>
          <w:szCs w:val="14"/>
          <w:color w:val="auto"/>
        </w:rPr>
      </w:pPr>
    </w:p>
    <w:p>
      <w:pPr>
        <w:ind w:left="1620" w:right="579" w:hanging="360"/>
        <w:spacing w:after="0" w:line="302"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2022 is adjusted on an unaudited pro forma basis to present the combined historical results of operations of us and Ninjas in Pyjamas as if the combination had occurred as of January 1, 2022.</w:t>
      </w:r>
    </w:p>
    <w:p>
      <w:pPr>
        <w:spacing w:after="0" w:line="26" w:lineRule="exact"/>
        <w:rPr>
          <w:rFonts w:ascii="Times New Roman" w:cs="Times New Roman" w:eastAsia="Times New Roman" w:hAnsi="Times New Roman"/>
          <w:sz w:val="14"/>
          <w:szCs w:val="14"/>
          <w:color w:val="auto"/>
        </w:rPr>
      </w:pPr>
    </w:p>
    <w:p>
      <w:pPr>
        <w:ind w:left="1620" w:right="739" w:hanging="360"/>
        <w:spacing w:after="0" w:line="281"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 of comprehensive loss data for 2023 reflects our acquisition of Ninjas in Pyjamas on January 10, 2023.</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have been cash from financing activities. As of December 31, 2022 and 2023, our cash and cash equivalents were US$9.6 million and US$7.6 million, respectively. Cash and cash equivalents consisted of cash on hand placed with banks or other financial institutions and highly liquid investment which are unrestricted as to withdrawal and use and have original maturities of</w:t>
      </w:r>
    </w:p>
    <w:p>
      <w:pPr>
        <w:spacing w:after="0" w:line="3" w:lineRule="exact"/>
        <w:rPr>
          <w:sz w:val="20"/>
          <w:szCs w:val="20"/>
          <w:color w:val="auto"/>
        </w:rPr>
      </w:pPr>
    </w:p>
    <w:p>
      <w:pPr>
        <w:ind w:left="1260" w:right="1219"/>
        <w:spacing w:after="0" w:line="260" w:lineRule="auto"/>
        <w:rPr>
          <w:sz w:val="20"/>
          <w:szCs w:val="20"/>
          <w:color w:val="auto"/>
        </w:rPr>
      </w:pPr>
      <w:r>
        <w:rPr>
          <w:rFonts w:ascii="Times New Roman" w:cs="Times New Roman" w:eastAsia="Times New Roman" w:hAnsi="Times New Roman"/>
          <w:sz w:val="18"/>
          <w:szCs w:val="18"/>
          <w:color w:val="auto"/>
        </w:rPr>
        <w:t>three months or less when purchased. Our cash and cash equivalents are primarily denominated in Renminbi.</w:t>
      </w:r>
    </w:p>
    <w:p>
      <w:pPr>
        <w:spacing w:after="0" w:line="10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Based on our current level of operations and available cash, we believe our available cash, committed funding from bank and credit facilities will provide sufficient liquidity to fund our current obligations, projected working capital requirements, debt service requirements and capital spending requirements at least for the next 12 months. We may, however, require additional cash resources due to changing business conditions or other future developments, including any investments or acquisitions we may decide to selectively pursue. If our existing cash resources are insufficient to meet our requirements, we may seek to sell equity or equity-linked securities, sell debt securities or borrow from banks. We cannot assure you that financing will be available in the amounts we need or on terms acceptable to us, if at all. The sale of additional equity securities would result in additional dilution to our shareholders. The incurrence of indebtedness and issuance of debt securities would result in debt service obligations and could result in operating and financial covenants that restrict our operations and our ability to pay dividends to our shareholders.</w:t>
      </w:r>
    </w:p>
    <w:p>
      <w:pPr>
        <w:spacing w:after="0" w:line="34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As a holding company with no material operations of our own, we are a corporation separate and apart from our subsidiaries and, therefore, must provide for our own liquidity. We conduct a substantial majority of our operations in China through our PRC subsidiaries. We are permitted under applicable laws and regulations to provide funding to our PRC subsidiaries through loans or capital contributions, subject to applicable regulatory approvals. We cannot assure you that we will be able to obtain these regulatory approvals on a timely basis, if at all. The ability of our subsidiaries in China to make dividends or other cash payments to us is subject to various restrictions under PRC laws and regulations.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 ​</w:t>
            </w: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For the Year Ended December 31, </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(9,634)</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(5,154)</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(1,719)</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2,171</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9,784</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1,364</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(252)</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(374)</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(1,821)</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(1,993)</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11,409</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9,588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9,588</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7,595</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-1302385</wp:posOffset>
            </wp:positionV>
            <wp:extent cx="137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Net cash used in operating activities was US$5.2 million in 2023, primarily attributable to (i) our net loss of US$13.3 million, as adjusted by the reconciliation of net loss to net cash used in operating activities, which primarily comprised (a) share -based compensation expense of US$6.1 million, and (b) depreciation and amortization of US$6.1 million, partially offset by deferred tax benefits of US$1.4 million, and (ii) a net decrease in operating assets and liabilities, which was primarily the result of (a) an increase in accounts receivable of US$3.3 million, (b) an increase in prepaid expenses and other current assets of</w:t>
      </w:r>
    </w:p>
    <w:p>
      <w:pPr>
        <w:spacing w:after="0" w:line="5"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US$1.1 million, and (c) a decrease in amount due to related parties of US$1.0 million, partially offset by an increase in accounts payable of US$2.9 million.</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Net cash used in operating activities was US$9.6 million in 2022, primarily attributable to (i) our net loss of US$6.3 million, as adjusted by the reconciliation of net loss to net cash used in operating activities, which primarily comprised depreciation and amortization of US$ 5.3 million, and (ii) a net decrease in operating assets and liabilities, which was primarily the result of (a) an increase in accounts receivable of US$7.0 million, (b) a decrease in deferred revenue of US$3.0 million, (c) a decrease in amount due to related parties of US$1.8 million, and (d) an increase in prepaid expenses and other current assets of US$1.1 million, partially offset by an increase in accounts payable of US$4.1 million.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US$2.2 million in 2023, which was primarily attributable to (i) disposal of intangible asset of US$4.2 million, and (ii) cash acquired from acquisition of Ninjas in Pyjamas of US$1.7 million, partially offset by purchase of intangible asset of US$3.5 million.</w:t>
      </w:r>
    </w:p>
    <w:p>
      <w:pPr>
        <w:spacing w:after="0" w:line="10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US$ 1.7 million in 2022, which was primarily attributable to (i) purchase of intangible asset of US$5.8 million, and (ii) purchase of property and equipment of</w:t>
      </w:r>
    </w:p>
    <w:p>
      <w:pPr>
        <w:ind w:left="1260" w:right="639"/>
        <w:spacing w:after="0" w:line="245" w:lineRule="auto"/>
        <w:rPr>
          <w:sz w:val="20"/>
          <w:szCs w:val="20"/>
          <w:color w:val="auto"/>
        </w:rPr>
      </w:pPr>
      <w:r>
        <w:rPr>
          <w:rFonts w:ascii="Times New Roman" w:cs="Times New Roman" w:eastAsia="Times New Roman" w:hAnsi="Times New Roman"/>
          <w:sz w:val="18"/>
          <w:szCs w:val="18"/>
          <w:color w:val="auto"/>
        </w:rPr>
        <w:t>US$ 0.8 million, partially offset by (i) disposal of intangible asset of US$4.3 million, and (ii) collection of loan to related party of US$0.5 million.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was US$1.4 million in 2023, which primarily comprised</w:t>
      </w:r>
    </w:p>
    <w:p>
      <w:pPr>
        <w:spacing w:after="0" w:line="16" w:lineRule="exact"/>
        <w:rPr>
          <w:sz w:val="20"/>
          <w:szCs w:val="20"/>
          <w:color w:val="auto"/>
        </w:rPr>
      </w:pPr>
    </w:p>
    <w:p>
      <w:pPr>
        <w:ind w:left="1260" w:right="739"/>
        <w:spacing w:after="0" w:line="242" w:lineRule="auto"/>
        <w:tabs>
          <w:tab w:leader="none" w:pos="14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borrowings of US$9.5 million, and (ii) collection of shareholder investment fund receivable of US$3.0 million, partially offset by (i) repayments of borrowings of US$6.4 million, (ii) repayment of loans from related parties of US$3.6 million, and (iii) payment of deferred offering cost of US$0.9 million.</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was US$9.8 million in 2022, which primarily comprised</w:t>
      </w:r>
    </w:p>
    <w:p>
      <w:pPr>
        <w:spacing w:after="0" w:line="16" w:lineRule="exact"/>
        <w:rPr>
          <w:sz w:val="20"/>
          <w:szCs w:val="20"/>
          <w:color w:val="auto"/>
        </w:rPr>
      </w:pPr>
    </w:p>
    <w:p>
      <w:pPr>
        <w:ind w:left="1480" w:hanging="220"/>
        <w:spacing w:after="0"/>
        <w:tabs>
          <w:tab w:leader="none" w:pos="1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preferred shares of US$12.0 million, (ii) loans from related parties of US$7.5 million, and</w:t>
      </w:r>
    </w:p>
    <w:p>
      <w:pPr>
        <w:spacing w:after="0" w:line="7" w:lineRule="exact"/>
        <w:rPr>
          <w:rFonts w:ascii="Times New Roman" w:cs="Times New Roman" w:eastAsia="Times New Roman" w:hAnsi="Times New Roman"/>
          <w:sz w:val="18"/>
          <w:szCs w:val="18"/>
          <w:color w:val="auto"/>
        </w:rPr>
      </w:pPr>
    </w:p>
    <w:p>
      <w:pPr>
        <w:ind w:left="1260" w:right="619"/>
        <w:spacing w:after="0"/>
        <w:tabs>
          <w:tab w:leader="none" w:pos="15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borrowings of US$6.7 million, partially offset by (i) repayment of loans from related parties of US$11.7 million, (ii) repayment of borrowings of US$2.6 million, and (iii) repayment of capital injection of US$1.5 million.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2023 and any subsequent period primarily include our capital expenditures.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capital expenditures are incurred primarily in connection with the acquisition of professional athletes and league seats. Our capital expenditures were US$6.5 million and US$3.6 million in 2022 and 2023, respectively. We intend to fund our future capital expenditures with our existing cash balance. We will continue to make capital expenditures to meet the expected growth of our business.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financial statements in conformity with U.S. GAAP requires management to make judgments, estimates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and assumptions that affect the reported amounts of assets and liabilities at the date of the financial statements and reported amounts of revenue and expenses during the reporting period. We continually evaluate these judgments and estimates based on our own experience, knowledge and assessment of current business and other conditions, and our expectations regarding the future based on available information and assumptions that we believe to be reasonable.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business combination;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of ordinary shares and preferred shares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 fair value of our ordinary shares and preferred shares were determined with the assistance of an independent third-party valuation firm, by applying discounted cash flow method under income approach and equity allocation model based on option pricing model with probability-weighted scenario analysis using management's estimates and assumptions.</w:t>
      </w:r>
    </w:p>
    <w:p>
      <w:pPr>
        <w:spacing w:after="0" w:line="112"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The estimation involves significant assumptions that might not be observable in the market, and a number of complex and subjective variables, revenue growth rate, discount rate, risk-free interest rate and subjective judgments regarding our projected financial and operating results, its unique business risks, the probabilities of each scenario of possible future outcomes and its operating history and prospects at each of the valuation dates.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in the purchase price allocation associated with business combination</w:t>
      </w:r>
    </w:p>
    <w:p>
      <w:pPr>
        <w:spacing w:after="0" w:line="148"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We used the following valuation methodologies to value assets acquired, liabilities assumed and intangible assets identified:</w:t>
      </w:r>
    </w:p>
    <w:p>
      <w:pPr>
        <w:spacing w:after="0" w:line="54" w:lineRule="exact"/>
        <w:rPr>
          <w:sz w:val="20"/>
          <w:szCs w:val="20"/>
          <w:color w:val="auto"/>
        </w:rPr>
      </w:pPr>
    </w:p>
    <w:p>
      <w:pPr>
        <w:ind w:left="1800" w:right="53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League tournaments rights were valued using the multi-period excess earning method under income approach, which represents the excessive earnings generated by the asset that remains after a deduction for a return on other contributory assets;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names were valued using the relief from royalty method under income approach, which represents the benefits of owning the intangible asset rather than paying royalties for its right of use;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carrying value approximated fair value at the time of acquisition.</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estimation involves significant assumptions that might not be observable in the market, and a number of complex and subjective variables, revenue growth rate, discount rate, risk-free interest rate, royalty rates and subjective judgments regarding our projected financial and operating results, its unique business risks.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we determine and quantify the valuation allowances, we consider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our current assumptions, judgements and estimates. Changes in these estimates and judgements may result in material increase or decrease in our provision for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19"/>
        <w:spacing w:after="0" w:line="258" w:lineRule="auto"/>
        <w:rPr>
          <w:sz w:val="20"/>
          <w:szCs w:val="20"/>
          <w:color w:val="auto"/>
        </w:rPr>
      </w:pPr>
      <w:r>
        <w:rPr>
          <w:rFonts w:ascii="Times New Roman" w:cs="Times New Roman" w:eastAsia="Times New Roman" w:hAnsi="Times New Roman"/>
          <w:sz w:val="18"/>
          <w:szCs w:val="18"/>
          <w:color w:val="auto"/>
        </w:rPr>
        <w:t>tax expenses, which could be material to our financial position and results of operations. The amounts of allowance over deferred tax assets were US$1,372,267 and US$1,703,274 as of December 31, 2022 and 2023,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and financial reporting personnel and other resources to address our internal controls and procedures. In connection with the audits of our consolidated financial statements as of December 31, 2022 and 2023 for each of the two years in the period ended December 31, 2022 and 2023, we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32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material weakness identified is our lack of sufficient and competent accounting and financial reporting personnel with appropriate knowledge of U.S. GAAP and financial reporting requirements set forth by the SEC to design and implement period-end financial reporting policies and procedures for the preparation of our consolidated financial statements and related disclosures in accordance with U.S. GAAP and the SEC reporting requirements.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this material weakness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(iii) developing, communicating and implementing an accounting policy manual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w:t>
      </w:r>
    </w:p>
    <w:p>
      <w:pPr>
        <w:spacing w:after="0" w:line="32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 — Risks Related to Our Business and Industry — If we fail to develop and maintain an effective system of internal control over financial reporting, we may be unable to accurately report our financial results or prevent fraud, and investor confidence and the market price of our ADSs may be adversely impacted.”</w:t>
      </w:r>
    </w:p>
    <w:p>
      <w:pPr>
        <w:spacing w:after="0" w:line="11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w:t>
      </w:r>
    </w:p>
    <w:p>
      <w:pPr>
        <w:spacing w:after="0" w:line="27"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However, pursuant to Section 404 and the related rules adopted by the SEC, we, as a public company after being listed, are required to maintain adequate internal control over financial reporting and include our management’s assessment of the effectiveness of our company’s internal control over financial reporting in our annual report.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6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NIP Group Inc. is a holding company with no material operations of its own. We conduct our China business primarily through our PRC subsidiaries and, prior to the Restructuring, also through our former VIE, Wuhan ESVF. As a result, our ability to pay dividends depends upon dividends paid by our PRC subsidiaries. We expect that the amounts of such dividends will increase in the foreseeable future as our China</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75" w:lineRule="auto"/>
        <w:rPr>
          <w:sz w:val="20"/>
          <w:szCs w:val="20"/>
          <w:color w:val="auto"/>
        </w:rPr>
      </w:pPr>
      <w:r>
        <w:rPr>
          <w:rFonts w:ascii="Times New Roman" w:cs="Times New Roman" w:eastAsia="Times New Roman" w:hAnsi="Times New Roman"/>
          <w:sz w:val="18"/>
          <w:szCs w:val="18"/>
          <w:color w:val="auto"/>
        </w:rPr>
        <w:t>business continues to grow. If our existing subsidiaries or any newly formed subsidiaries incur debt on their own behalf in the future, the instruments governing their debt may restrict their ability to pay dividends to us.</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subsidiaries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PRC subsidiaries. Appropriation to discretionary surplus fund is made at the discretion of our PRC subsidiaries.</w:t>
      </w:r>
    </w:p>
    <w:p>
      <w:pPr>
        <w:spacing w:after="0" w:line="34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to our PRC subsidiaries through loans or capital contributions, subject to applicable regulatory approvals. We cannot assure you that we will be able to obtain these regulatory approvals on a timely basis, if at all. As a result, there is uncertainty with respect to our ability to provide prompt financial support to our PRC subsidiaries when needed.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From July 21, 2005, RMB is permitted to fluctuate within a narrow and managed band against a basket of certain foreign currencies. For RMB against the U.S. dollar, there was depreciation of approximately 8.2% in 2022 and depreciation of approximately 2.9% in 2023. For SEK against U.S. dollar, there was appreciation of approximately 3.5% in 2023. It is difficult to predict how market forces or PRC, European Union or U.S. government policy may impact the exchange rate between RMB and the U.S. dollar, and between SEK and the U.S. dollar in the future. To the extent that we need to convert the U.S. dollar into RMB and SEK for capital expenditures and working capital and other business purposes, appreciation of RMB and SEK against U.S. dollar would have an adverse effect on the RMB and SEK amount we would receive from the conversion. Conversely, if we decide to convert RMB and SEK into the U.S. dollar for the purpose of making payments for dividends on ordinary shares, strategic acquisitions or investments or other business purposes, appreciation of the U.S. dollar against RMB and SEK would have a negative effect on the U.S. dollar amount available to us. In addition, a significant depreciation of RMB and SEK against the U.S. dollar may significantly reduce the U.S. dollar equivalent of our earnings or losses.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NDUSTRY</w:t>
      </w:r>
    </w:p>
    <w:p>
      <w:pPr>
        <w:spacing w:after="0" w:line="17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information presented in this section has been derived from an industry report commissioned by us, prepared by Frost &amp; Sullivan to provide information regarding our industry and our market position. Certain data in the Frost &amp; Sullivan Report was supported by Newzoo. Both Frost &amp; Sullivan and Newzoo are independent research firms.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 of the Global Gaming and Esports Market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According to the Frost &amp; Sullivan Report, the number of gamers globally has experienced significant increase at a CAGR of 7.1% from 2.3 billion in 2017 to 3.1 billion in 2021, and is expected to further increase at a CAGR of 5.5% from 3.3 billion in 2022 to 4.3 billion in 2027. In line with the growth of the gamer population and various gaming platforms, the esports industry has experienced substantial growth as well. Esports refers to competitive and organized video gameplay in either online or offline and multi-player or single-player format, with a specific goal or prize, such as winning a championship title or prize money. Esports games can be further categorized into PC/console esports games such as League of Legends, Dota 2, CS:GO and Rainbow Six, and mobile esports games such as Honor of Kings and PUBG Mobile.</w:t>
      </w:r>
    </w:p>
    <w:p>
      <w:pPr>
        <w:spacing w:after="0" w:line="11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Traditionally, esports has been predominantly PC/console-based. However, mobile esports games have gained popularity in recent years with the proliferation of smartphones, the development of mobile internet and the increasingly fragmented entertainment time span of contemporary life. With the same immersive experience as PC/console esports games but less niche technical requirements both in terms of skills and hardware requirements, mobile esports games have become mainstream esports titles in Asian countries. According to the Frost &amp; Sullivan Report, in 2021, mobile gamers accounted for 92.4% of the total gamers in China, compared to 83.6% of that of the total gamer base globally.</w:t>
      </w:r>
    </w:p>
    <w:p>
      <w:pPr>
        <w:spacing w:after="0" w:line="10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diagrams illustrate market size of the overall gaming and esports industry by revenue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5083175" cy="16033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8317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5066030" cy="1534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66030" cy="15341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The market size of esports industry in China has grown rapidly, driven by favorable government policies combined with the large population base. The PRC government has in recent years launched a series of esports competitions and events and supporting policies in terms of funding, talent growth, taxation, visas and broadcasting, providing an ideal macro backdrop for the development of the industry. As a result, gaming is exceedingly prevalent in Chinese pop culture, young people have increasingly viewed esports as a viable career option.</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35"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color w:val="auto"/>
        </w:rPr>
        <w:t>The European Parliament has recognized the huge potential of gaming and esports in EU education policy and learning. Gaming has encouraged students to pursue careers in science, technology, engineering, arts and mathematics, and esports can aid in the development of digital society. The European Parliament insists that gaming and esports can be valuable pedagogical tools to keep students actively engaged in the curriculum and to develop digital literacy, soft skills and creative thinking. As a result, esports has grown into an important part of the mainstream culture in Europe as compared to the rest of the world. For example, many European cities have begun to integrate esports culture into urban development planning, actively establish esports venues and clubs, establish esports management-related majors on campus and support the development of esports game-related enterprises.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South America</w:t>
      </w:r>
    </w:p>
    <w:p>
      <w:pPr>
        <w:spacing w:after="0" w:line="148" w:lineRule="exact"/>
        <w:rPr>
          <w:sz w:val="20"/>
          <w:szCs w:val="20"/>
          <w:color w:val="auto"/>
        </w:rPr>
      </w:pPr>
    </w:p>
    <w:p>
      <w:pPr>
        <w:ind w:left="1260" w:right="539" w:firstLine="360"/>
        <w:spacing w:after="0" w:line="239" w:lineRule="auto"/>
        <w:rPr>
          <w:sz w:val="20"/>
          <w:szCs w:val="20"/>
          <w:color w:val="auto"/>
        </w:rPr>
      </w:pPr>
      <w:r>
        <w:rPr>
          <w:rFonts w:ascii="Times New Roman" w:cs="Times New Roman" w:eastAsia="Times New Roman" w:hAnsi="Times New Roman"/>
          <w:sz w:val="18"/>
          <w:szCs w:val="18"/>
          <w:color w:val="auto"/>
        </w:rPr>
        <w:t>According to the Frost &amp; Sullivan Report, South America is one of the highest growth regions for esports in the world. The esports industry in South America has benefited from a relatively young population where millennials and Gen Z’ers are more in tune with digital media and technology, including gaming and esports. Investment in esports is also increasing in the region, leading to the emergence of new tournaments, leagues and teams.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 of Global Esports Tournament Market</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Times New Roman" w:cs="Times New Roman" w:eastAsia="Times New Roman" w:hAnsi="Times New Roman"/>
          <w:sz w:val="18"/>
          <w:szCs w:val="18"/>
          <w:color w:val="auto"/>
        </w:rPr>
        <w:t>Esports tournaments are generally held for one or more game titles in various formats, with incentives such as prize money or championships. Similar to the development of professional sports-based businesses, the esports industry has gradually expanded its vertical and horizontal reach and grown its revenue potential. Like traditional sports, esports is highly competitive and provides a dynamic and engaging viewing experience, attracting massive viewership and attention.</w:t>
      </w:r>
    </w:p>
    <w:p>
      <w:pPr>
        <w:spacing w:after="0" w:line="10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following diagram shows the top ten global esports game titles and top ten world tournaments by prize pool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88900</wp:posOffset>
            </wp:positionV>
            <wp:extent cx="5100320" cy="21513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0032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15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Esports has achieved large scale and wide reach despite its short history. As illustrated by the table following this paragraph, according to the Frost &amp; Sullivan Report, compared with traditional sports, esports has achieved larger viewership and has a more diverse audience base. For example, as shown in the table following this paragraph, according to the Frost &amp; Sullivan Report, in 2021 and on a peak viewership basis, 350.0 million viewers watched League of Legends Worlds, 92.4 million viewers watched the Kings Pro League (KPL) Spring Finals, and over 200.0 million viewers watched The International Dota II (Ti), whereas 16.5 million viewers watched the National Basketball Association (NBA) Finals, 120.0 million viewers watched the National Football League (NFL) Superbowl, and 11.4 million viewers watched the English Premier League (EPL) Liverpool vs Manchester United. However, as illustrated by the table following this paragraph, according to the Frost &amp; Sullivan Report, total annual revenue generated from the top esports leagues is considerably lower than that from traditional sports leagues, indicating ample growth potential. For example, as shown in the table following this paragraph, according to the Frost &amp; Sullivan Report, annual revenue generated through LOL, KPL, Ti, NBA, NFL and EPL in 2021 was approximately US$0.2 billion, US$0.1 billion, US$0.5 billion, US$10.0 billion, US$15.2 billion and US$6.9 billion, respectively. Traditional sports tournaments have been in existence developed for an extended period of time. While esports tournaments come later in time, esports fans generally spend more on in-game purchases. In addition, the average age of esports fans is significantly younger than that of traditional sports, largely consisting of millennials and Gen Z.</w:t>
      </w:r>
    </w:p>
    <w:p>
      <w:pPr>
        <w:spacing w:after="0" w:line="326"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viewership demographics and annual revenue for certain major esports and traditional sports leagues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97155</wp:posOffset>
            </wp:positionV>
            <wp:extent cx="5151755" cy="13804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5175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right="499" w:hanging="360"/>
        <w:spacing w:after="0" w:line="279" w:lineRule="auto"/>
        <w:tabs>
          <w:tab w:leader="none" w:pos="16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viewership numbers are based on peak viewership during the respective tournament finals period in its own primary coverage regions as stated above. The respective tournament finals are the 2021 LOL World Championship Finals held on November 6, 2021, the 2021 King Pro League Spring Finals held on June 26, 2021, The International Dota 2 held on May 22, 2022, NBA Finals held on July 20, 2021, NFL Superbowl held on February 7, 2021, and EPL match — Liverpool vs Manchester United held on May 13, 2021.</w:t>
      </w:r>
    </w:p>
    <w:p>
      <w:pPr>
        <w:spacing w:after="0" w:line="3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Esports Audience</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By providing a competitive and dynamic viewing experience and with strong social elements, esports represents a dominant form of entertainment globally and in particular for younger generations. According to the Frost &amp; Sullivan Report, esports gamers aged below 34 made up 73.0% of all esports gamers globally in 2021, and will continue to drive the growth of esports and make up the largest proportion of esports gamers and audience in the foreseeable future. Driven by common interests and shifting spending habits among young generations, the esports industry is expected to have tremendous commercialization potential.</w:t>
      </w:r>
    </w:p>
    <w:p>
      <w:pPr>
        <w:spacing w:after="0" w:line="11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Esports tournaments are constantly innovating to make esports more entertaining and mainstream. According to the Frost &amp; Sullivan Report, 500 million viewers tuned in to watch esports in 2021 globally, among which esports enthusiasts, which are people who watch esports content at least once a month, accounted for 236 million, or 47.2%, and occasional viewers, which are people who watch esports content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fewer than once a month, accounted for 264 million, or 52.8%. According to the Frost &amp; Sullivan Report, the number of esports enthusiasts is expected to reach 322 million in 2027 globally at a CAGR of 6.1% from 2022 to 2027, and the number of occasional viewers is expected to reach 361 million in 2027 at a CAGR of 5.9% from 2022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160645" cy="16033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6064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Newzoo (for data from 2017 to 2021), Frost &amp; Sullivan (for data from 2022 to 2027E)</w:t>
      </w:r>
    </w:p>
    <w:p>
      <w:pPr>
        <w:spacing w:after="0" w:line="14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China plays a key role in shaping esports into the sensational phenomena it is today and continues to lead and drive the growth in esports globally. The popularity and demand for esports in China is evidenced by an increased number of esports audience and specifically, esports enthusiasts, with the penetration rate increased from 47.4% in 2017 to 59.2% in 2021, and is expected to further increase to 61.4% in 2027.</w:t>
      </w:r>
    </w:p>
    <w:p>
      <w:pPr>
        <w:spacing w:after="0" w:line="11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diagram illustrates number of esports audience in China by audience type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88900</wp:posOffset>
            </wp:positionV>
            <wp:extent cx="5168900" cy="16033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6890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Newzoo (for data from 2017 to 2021), Frost &amp; Sullivan (for data from 2022 to 2027E)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Industry Participants</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Game Developers and Publishers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Game developers and publishers own the IP to the esports games and can make authorization for esports tournaments, with the aim of promoting their games and increasing their user base, user engagement and gross billings.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League Managers</w:t>
      </w:r>
    </w:p>
    <w:p>
      <w:pPr>
        <w:spacing w:after="0" w:line="14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League managers are individuals or organizations responsible for overseeing the administration and operation of a esports league. They are typically responsible for ensuring that the league operates fairly, smoothly, and in compliance with its governing rules and regulations.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Tournament Operators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Tournament operators are generally companies that organize and operate esports tournaments, produce and commercialize esports tournaments, and enhance engagement amongst gamers and audience.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Gamers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People who play esports games on a PC, a console, a mobile device, or through cloud service in the past six months.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Audience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People who watch and consume esports tournaments and esports-related content.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Platforms that distribute esports content. These channels include online live-streaming and other online entertainment platforms, and traditional broadcasting, networks and transmissions.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Online Entertainers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Social media celebrities who provide real-time commentary on esports games and tournaments, or who play and narrate esports games themselves, or narrate on the gameplay of other gamers. They are typically managed by talent managers.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Brands and Sponsors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Companies that seek to advertise their brands and products through esports.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Drivers of the Global Esports Market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Rising Popularity of Video Games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Video games have gained massive popularity over the years, especially due to the advent of novel products from video game console developers including Microsoft, Sony Interactive Entertainment and Nintendo Video. As a result, the gaming sector is changing rapidly from being a casual hobby for entertainment to a profession with meaningful career opportunities. In fact, esports has gained similar traction and fixation to conventional sports. Massive esports tournaments are being organized across the globe with lucrative sponsors and significant investments from international brands. Furthermore, many celebrities endorse such tournaments with live streaming being the major source of viewing. Esports has matured with the millennial generation, become a cultural touchstone, and extended their relevance way beyond the early years into Gen Z and every generation that follows who grew up as digital natives with an intrinsic relationship with digital gaming. As a result of this, the demand for esports and relevant products is increasing rapidly. Therefore, these factors are expected to drive growth of the global esports market during the forecast period.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Policies Encouraging Esports Development</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growth of esports in China is supported by regulatory policies and secular industry tailwinds. In China, the government has implemented policies that support esports both on the national and local levels. In 2021, Ministry of Culture and Tourism of China published “The Culture and Tourism Development Plan during the ‘14th 5-year Plan’ Period” to “promote the integration and development of esports, game and amusement industry.” In addition, the Olympic Council of Asia has approved esports to be an official medal event at the 19th Asian Games 2022 to be hosted in Hangzhou, China.</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November 10, 2022, the European Parliament adopted a resolution on esports and video games. In this resolution the European Parliament calls on the Commission and the Council to acknowledge the value of the video game ecosystem as a major cultural and creative industry (“CCI”) with strong potential for further growth and innovation.</w:t>
      </w:r>
    </w:p>
    <w:p>
      <w:pPr>
        <w:spacing w:after="0" w:line="99"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Saudi gaming and esports sectors are keeping pace with the rapid growth under Vision 2030’s diversification goals. The Ministry of Communications and Information Technology (MCIT) has also contributed to private-public partnerships and infrastructure investments. In October 2021, the Saudi</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government announced plans to invest another US$37.8 billion in esports-related businesses in the Middle East. This investment, along with others, drives the industry’s explosive rise.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Increasing Numbers of Brands and Sponsors</w:t>
      </w:r>
    </w:p>
    <w:p>
      <w:pPr>
        <w:spacing w:after="0" w:line="13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Increasing numbers of brands and sponsors from various industries are recognizing the value and reach of esports and are actively participating in commercialization of the esports industry. The commercial cooperation field of esports has been broadened, and the partners have become more and more diversified. In addition to traditional hardware manufacturers, enterprises in the fields of automobile, FMCG and finance have also started to sponsor KPL and LPL events.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Broadcasting and Media Rights</w:t>
      </w:r>
    </w:p>
    <w:p>
      <w:pPr>
        <w:spacing w:after="0" w:line="148"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In esports, broadcasting and media rights is a key growth driver as the worlds of media and gaming continue to converge. As publishers in esports own the intellectual property for each game they’ve created, they have the ultimate authority to set the terms by which other parties can utilize their software. However, the industry is now reaching a turning point where the adoption of games and of esports has exploded. Consequently, publishers are looking to capitalize on this audience and momentum by monetizing broadcasting and signing exclusive content deals. Additionally, since gamers and organizations draw in these fans, they are seeking revenue share agreements with publishers. These new developments are catalysts for the emerging franchise models explained above, whereby teams, gamers, and publishers yield similar revenue splits.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Education and Training</w:t>
      </w:r>
    </w:p>
    <w:p>
      <w:pPr>
        <w:spacing w:after="0" w:line="13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Although gaming was considered a casual hobby in the past, it has grown into a professional career option for many aspiring gamers. Many universities and colleges have started enrollment for professional gaming courses or esports degrees. Furthermore, many institutions offer scholarship for aspiring gamers, which is expected to boost esports popularity. Therefore, these factors are expected to propel the global esports market growth over the forecast period. And the leading players in the game industry represented by Tencent continue to strengthen the market education, and invest a lot of funds and resources to promote the development of the industrial chain, thus making the penetration rate of esports increase year by year.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Iterative Upgrades of Esports Business Model</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increasingly professional sports-based operation is expanding a bigger business map for esports. The business model has been improved day by day. After borrowing the business model of traditional sports, esports leagues have gradually developed the commercial value of multiple modules such as media rights, derivatives, tickets and advertisements.</w:t>
      </w:r>
    </w:p>
    <w:p>
      <w:pPr>
        <w:spacing w:after="0" w:line="173" w:lineRule="exact"/>
        <w:rPr>
          <w:sz w:val="20"/>
          <w:szCs w:val="20"/>
          <w:color w:val="auto"/>
        </w:rPr>
      </w:pPr>
    </w:p>
    <w:p>
      <w:pPr>
        <w:ind w:left="1260" w:right="3219"/>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Global Esports Club, Talent Management and Event Production Markets </w:t>
      </w:r>
      <w:r>
        <w:rPr>
          <w:rFonts w:ascii="Times New Roman" w:cs="Times New Roman" w:eastAsia="Times New Roman" w:hAnsi="Times New Roman"/>
          <w:sz w:val="18"/>
          <w:szCs w:val="18"/>
          <w:b w:val="1"/>
          <w:bCs w:val="1"/>
          <w:i w:val="1"/>
          <w:iCs w:val="1"/>
          <w:color w:val="auto"/>
        </w:rPr>
        <w:t>Esports Club Market</w:t>
      </w:r>
    </w:p>
    <w:p>
      <w:pPr>
        <w:spacing w:after="0" w:line="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According to the Frost &amp; Sullivan Report, driven by increased tournament viewership and continuous government support, the global esports club market in terms of revenue grew at a CAGR of 26.6% from US$0.5 billion in 2017 to US$ 1.4 billion in 2021 and is expected to continue to grow at a CAGR of 18.8% from 2022 to 2027, eventually reaching US$3.9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89535</wp:posOffset>
            </wp:positionV>
            <wp:extent cx="5117465" cy="1568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17465" cy="1568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Talent Management Market</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advent of streaming has increased demand for, and spend on, video content. As the esports gaming space continues to draw the interest of the world, content rooted in it become more important across the media landscape. According to the Frost &amp; Sullivan Report, the global talent management market has increased drastically at a CAGR of 63.2% from US$0.3 billion in 2017 to US$2.3 billion in 2021 and is expected to continue to grow at a CAGR of 23.4% from 2022 to 2027, reaching US$8.2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186045" cy="16205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8604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Event Production Market</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continuously increasing popularity of esports supports events with mass appeal. According to the Frost &amp; Sullivan Report, the global esports event production market has increased at a CAGR of 23.4% from US$0.3 billion in 2017 to US$0.6 billion in 2021 and is expected to continue to grow at a CAGR of 27.3% from 2022 to 2027, reaching US$2.7 billion in 2027. The market size decreased from US$0.8 billion in 2019 to US$0.5 billion in 2020, primarily because a large number of events were either cancelled or postponed due to the global COVID-19 outbreak and the series of measures imposed by governments to contain its spread, which include restrictions on public gathering and travel bans.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152400</wp:posOffset>
            </wp:positionV>
            <wp:extent cx="5083175" cy="1560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8317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Source: Frost &amp; Sullivan</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Competitive Landscape of Esports Companies</w:t>
      </w:r>
    </w:p>
    <w:p>
      <w:pPr>
        <w:spacing w:after="0" w:line="14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NIP Group Inc. has won 19 championships in global top 10 esports titles in the world measured by prize pool in their world tournaments, including in CS:GO, Honor of Kings, Rainbow Six and FIFA, representing more in unique game titles with top tier wins than any other esports organization as of January 31, 2023, according to the Frost &amp; Sullivan Report. The following diagram illustrates the comparison of championship wins across leading esports teams as of January 31, 2023.</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612775</wp:posOffset>
            </wp:positionV>
            <wp:extent cx="5074920" cy="19888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749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w:t>
      </w:r>
    </w:p>
    <w:p>
      <w:pPr>
        <w:spacing w:after="0" w:line="96" w:lineRule="exact"/>
        <w:rPr>
          <w:sz w:val="20"/>
          <w:szCs w:val="20"/>
          <w:color w:val="auto"/>
        </w:rPr>
      </w:pPr>
    </w:p>
    <w:p>
      <w:pPr>
        <w:ind w:left="1260" w:right="2879"/>
        <w:spacing w:after="0" w:line="362" w:lineRule="auto"/>
        <w:tabs>
          <w:tab w:leader="none" w:pos="16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Among the top-tier world tournaments in top ten global esports game titles by prize pool. </w:t>
      </w:r>
      <w:r>
        <w:rPr>
          <w:rFonts w:ascii="Times New Roman" w:cs="Times New Roman" w:eastAsia="Times New Roman" w:hAnsi="Times New Roman"/>
          <w:sz w:val="14"/>
          <w:szCs w:val="14"/>
          <w:i w:val="1"/>
          <w:iCs w:val="1"/>
          <w:color w:val="auto"/>
        </w:rPr>
        <w:t>Source: Frost &amp; Sullivan</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Entry Barriers to the Esports Industry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Collaborative Resources with Industry Stakeholders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the esports industry, it takes time and effort to build relationships and trust with stakeholders such as game developers and promoters, esports leagues and content distribution platforms. For instance, fixed number of seats in top tier leagues cuts off vast majority of small esports clubs. Therefore, earlier entry into the esports industry and longer-term cooperative relationship with relevant stakeholders would generate first-mover advantage as there are often limited league seats available within the designated game title.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Talent Reserve and Training Management System</w:t>
      </w:r>
    </w:p>
    <w:p>
      <w:pPr>
        <w:spacing w:after="0" w:line="14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There is a talent shortage in esports industry. It is difficult for small esports team to attract top-tier athletes and online entertainers due to limited track record and a lack of popularity. In addition, small esports teams normally do not have a mature and systematic talent training and management system, or incubation of influencers. Therefore, it would be hard for these small esports club to cultivate and retain quality athletes.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Esports Equipment and Technology</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Significant capital outlay, such as best gaming peripherals, is required to ensure top performance of the athletes. The ability to apply AI, data analytics and the latest technology, such as VR and AR, to the daily training of athletes largely helps to enhance and stabilize their performance.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Reserves and Commercialization Ability</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operation of an esports team is capital centric. A large amount of capital is required for athlete training, daily operations, and management of fans. Therefore, whether an esports team could reserve enough funds in the early stage to sustain the capital outflows would become one of the most important factors that hinders new entrants.</w:t>
      </w:r>
    </w:p>
    <w:p>
      <w:pPr>
        <w:spacing w:after="0" w:line="9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commercial value of an esports team is measured by the number of brands, sponsors and advertisers behind it. Global top esports teams are relatively concentrated and it is difficult for newcomers to earn sponsorships or advertisement.</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USINESS</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Our mission is to create transformative esports experiences that entertain, inspire and connect fans across the globe.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vision is to become the premier esports organization in the world.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are a leading esports organization with the most expansive global footprint by virtue of our operations across Asia, Europe and South America, according to the Frost &amp; Sullivan Report. Among the top ten esports titles in the world in terms of prize pool, our wins in tier-1 world tournaments in CS:GO, Honor of Kings, Rainbow Six and FIFA represent more unique game titles with top-tier wins than any other esports organization as of January 31, 2023, according to the Frost &amp; Sullivan Report. We were founded based on a passion for esports and belief that esports can create the same types of historical and legendary experiences and memories as traditional sports have for the past century.</w:t>
      </w:r>
    </w:p>
    <w:p>
      <w:pPr>
        <w:spacing w:after="0" w:line="11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We operate two esports brands: Ninjas in Pyjamas and eStar Gaming. Ninjas in Pyjamas, our PC/​</w:t>
      </w:r>
    </w:p>
    <w:p>
      <w:pPr>
        <w:spacing w:after="0" w:line="16"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console esports brand, was founded in 2000 in Sweden, while eStar Gaming, our mobile esports brand, was founded in 2014 in China. Competing at the highest levels in multiple esports titles over two decades, Ninjas in Pyjamas has earned recognition as one of the most storied, recognized and iconic brands in the esports world. At the same time, eStar Gaming, our mobile esports brand, is the top team in the Honor of Kings King Pro League (KPL), one of the most successful teams in KPL history in terms of titles and widely considered to be the most successful mobile esports team in the world, according to the Frost &amp; Sullivan Report. We have a comprehensive portfolio of esports teams, competing at the highest level in video game titles such as League of Legends, CS: GO, Honor of Kings, Rainbow Six, Rocket League, Fortnite and Call of Duty Mobile.</w:t>
      </w:r>
    </w:p>
    <w:p>
      <w:pPr>
        <w:spacing w:after="0" w:line="329"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believe that there is tremendous potential in what we refer to as the “esports+” model, with the first phase being competitive esports itself — building championship-caliber teams across the most popular esports titles. NIP Group is currently at the second phase of esports+, supplementing our competitive esports business with our talent management, event production, creative studios, and burgeoning advertising businesses to create a diverse and sustainable revenue stream driving our continued growth. Going forward, we believe that we are only limited by our imagination for the third phase of esports+, and are actively exploring opportunities in areas such as esports education and training, fan universe (B2C monetization and metaverse), digital collectibles, esports real estate and IP licensing. As of December 31, 2023, we have provided esports education related services to more than 12 educational institutions in cities including, among others, Guangzhou, Xi’an, Wuhan, Guiyang and Zhongshan, and we are aiming to bring our contents and services to 50 educational institutions across China by the end of 2025. We anticipate costs associated with our undertaking of esports education business to include staff costs as well as costs related to content development, professional training and brand building. We plan to finance our esports education business through capital contribution or shareholder loans. In addition, we have also entered into collaboration agreements with digital collectibles platforms in China, where digital collectibles featuring our IPs have been listed since November 2022. Costs associated with the collaborations consist mainly of the design, technical and operational service fees we paid to a third-party vendor for these digital collectibles. We incurred costs associated with digital collectibles of RMB95,400 in 2023. Aiming to create a global benchmark for esports+, we are also actively creating our proprietary IPs in the fields of fashion, art and metaverse. In 2022 and 2023, we launched over 20 IP collaborations with companies spanning the telecommunication, automobile, sportswear, and various other industries, introducing co-branded vehicles, peripherals, clothing, beauty products, beverages, and gift boxes. We also license companies to use the image, including AI and virtual image of our athletes for promotion. We are exploring new ways of IP collaborations leveraging our abundant resources, and expand into the fields of entertainment, education and tourism. To build our competitive edge, we are committed to give more unique attributes to our existing IPs, and will actively develop new IPs such as esports reality shows, series and movies, esports electronic festivals, exhibitions, fan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arts and virtual idols, to meet the evolving market demand. As of the date of this prospectus, in addition to our current brand partners, we are negotiating potential collaborations with more than ten companies ranging over industries such as smart devices, energy drinks and dairy products, as well as companies with tourism and entertainment businesses. We expect to further expand our IP collaborations to 40 by 2025. We have not incurred any significant cost associated with our IP collaborations, nor do we expect there being material costs for our future initiatives.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Currently, we are focused on developing talent for both our esports teams and greater roster of online entertainers. On the esports side, we have combined Ninjas in Pyjamas’s 20-plus years of development experience as well as eStar Gaming’s demonstrated success in the burgeoning competitive mobile games market in the past five years. Our talent management business also focuses on developing esports athletes to become successful online entertainers, extending their success in the esports world further to the entertainment world. In 2020, Jackson Wang, one of the world’s most famous pop idols and one of the most followed male artists on Instagram, with approximately 33 million followers as of April 30, 2024, joined us as a partner and beneficial shareholder.</w:t>
      </w:r>
    </w:p>
    <w:p>
      <w:pPr>
        <w:spacing w:after="0" w:line="11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experienced robust growth in our net revenues, which increased from US$65.8 million in 2022 to US$83.7 million in 2023. Our gross profit also increased from US$3.7 million in 2022 to US$7.2 million in 2023, representing gross profit margin of 5.7% and 8.6% for the same years,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believe the following strengths contribute to our success: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Leading esports organization with most expansive global footprint</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are a leading esports organization with the most expansive global footprint by virtue of our operations across Asia, Europe and South America, according to the Frost &amp; Sullivan Report. Among the top ten esports titles in the world in terms of prize pool, our wins in tier-1 world tournaments in CS:GO, Honor of Kings, Rainbow Six and FIFA represent more unique game titles with top-tier wins than any other esports organization as of January 31, 2023, according to the Frost &amp; Sullivan Report.</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Ninjas in Pyjamas, our PC/console esports brand, was founded in 2000 in Sweden and has pioneered the esports industry over two decades — driving the scene from its grassroots nascency and fielding competitive teams at the highest levels earning 57 championship wins in tier one competition as of December 31, 2023, including wins in CS:GO ESL One: Cologne in 2014, Rainbow Six Invitational in 2021 and FIFA EA Sports Cup in 2023. eStar Gaming, our mobile esports brand, is the top team in the Honor of Kings King Pro League (KPL), one of the most successful teams in KPL history in terms of titles and widely considered to be the most successful mobile esports team in the world according to the Frost &amp; Sullivan Report, having won the inaugural Honor of Kings International Championship in 2019 and 2022 and securing first place in the 2022 KPL spring. We are also the only esports organization in China with home courts in two cities, with our Ninjas in Pyjamas League of Legends team in Shenzhen and eStar Gaming Honor of Kings team in Wuhan. We also field teams in Brazil and will be expanding teams to the MENA region in 2024.</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Largest portfolio of video game titles competed at highest level of competition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prospectus, we fielded teams in 13 esports titles, which was the most for all</w:t>
      </w:r>
    </w:p>
    <w:p>
      <w:pPr>
        <w:spacing w:after="0" w:line="27"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esports organizations in the world, according to the Frost &amp; Sullivan Report. Our esports teams compete in leagues at the highest level across a broad portfolio of video game titles, including:</w:t>
      </w:r>
    </w:p>
    <w:p>
      <w:pPr>
        <w:spacing w:after="0" w:line="59" w:lineRule="exact"/>
        <w:rPr>
          <w:sz w:val="20"/>
          <w:szCs w:val="20"/>
          <w:color w:val="auto"/>
        </w:rPr>
      </w:pPr>
    </w:p>
    <w:p>
      <w:pPr>
        <w:ind w:left="1800" w:right="47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(formerly as Victory 5) in the LPL, League of Legends professional league. China is widely considered to be one of the most competitive regions in League of Legends, the most popular esports title in the world. As a result, according to the Frost &amp; Sullivan Report, the LPL is the most viewed in League of Legends league, and has the most amount of investment into it.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eStar Gaming, the 2022 world champions in Honor of Kings, one of the most played mobile games in the world, according to the Frost &amp; Sullivan Report, and one of the teams having won eight championships at the highest level of competitions in Honor of Kings, including two world championships.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9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winners of ESL One: Cologne in 2014 and Weplay Academy League 2022 in CS:GO.</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winner of the 2021 Six Invitational in Rainbow Six.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winner of the EA Sports Cup in 2023 in FIFA.</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also field strong teams in popular PC/console titles such as FIFA, Fortnite, and Rocket League, as well as mobile titles such as Call of Duty Mobile, QQ Speed and Crossfire. As of December 31, 2023, our eStar Gaming team won 60 tournaments and approximately RMB77.2 million (US$10.9 million) in prize money from tournaments and our Ninjas in Pyjamas team won 57 tier-one tournaments and approximately US$8.2 million in prize money from tournaments. This track record of success demonstrates that we are able to continuously grow teams organically or through acquisition for top esports titles along with the evolution of the esports scene, and maintain our long-standing position as a top esports organization without relying on any single team for any particular title.</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also started assembling all-female rosters for various game titles to promote diversity and inclusivity, break gender barriers and reduce gender-based discrimination in the gaming industry. We launched our first all-female teams in CS:GO in September 2022. We believe our continuous investment and effort in creating opportunities for women to participate in esports can inspire more female players to pursue careers in gaming and technology.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Strong and loyal fan base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a strong and loyal fan base supporting both NIP Group and its Ninjas in Pyjamas and eStar Gaming brands, as well as our athletes and online entertainers. As of December 31, 2023, our official social media accounts on Weibo, Twitter, Instagram and other platforms had combined followers of approximately 16 million. At the same time, our athletes and online entertainers signed with our talent management agency business had total social media followers of approximately 99 million, showing the robustness of our reach and the influence of our talent.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Proven talent development system across esports and entertainment</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continue to hone and improve our talent development system for success in both high-level esports competition and online entertainment as a whole. On the esports side, we have combined the best facets of western and eastern theory for competitive esports development and training to create a system designed for growth, longevity and performance. Ninjas in Pyjamas’s 20-plus years of development experience since the infancy stages of competitive esports has established a performance management structure focused on balancing performance with well-being, leveraging not only esports performance coaches but also psychologists, nutritionists and physical therapists. It aims to empower individual teams as much as possible in their daily work to make their own choices, while still leaving strategic decisions to core management individuals with industry expertise. This system works in tandem with eStar Gaming’s experience and demonstrated success in the burgeoning competitive mobile games market in the past five years. Our president, Mr. Liwei “xiaOt” Sun, was one of China’s most famous esports competitors, and applied his personal success in titles such as Warcraft III, Starcraft II and Heroes of the Storm to create a set of coaching and development philosophies that has culminated in high-level performance and KPL championships. The results of our proven development system has set new highs for KPL transfer fees, including a record-breaking transfer fee of RMB12 million for Zhejie “Zimo” Wu, a Honor of Kings player we developed.</w:t>
      </w:r>
    </w:p>
    <w:p>
      <w:pPr>
        <w:spacing w:after="0" w:line="344"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have also substantially invested into our esports training and development facilities. Our facilities in Stockholm and Wuhan were built from the ground up and are what we believe to be among the largest, most premium and most expensive esports facilities in the world.</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talent management business also focuses on developing of roster of esports athletes to become successful online entertainers. By teaching our athletes to leverage their success in the esports world to expand their overall influence and reach, we provide them with a career beyond esports. The success of our athletes in turn attracts talent from both the esports and greater entertainment world to our organization. In 2020, Jackson Wang, one of the world’s most famous pop idols and one of the most followed male artists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on Instagram, with approximately 33 million followers as of April 30, 2024, joined us as a partner and beneficial shareholder.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Diversified revenue streams driving sustainable growth</w:t>
      </w:r>
    </w:p>
    <w:p>
      <w:pPr>
        <w:spacing w:after="0" w:line="135"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We generate revenue through our competitive esports, talent management, event production and creative studio businesses. Although we are deeply focused on securing the best competitive results for our esports teams across geographies and titles, we recognize the need for sustainable organic growth and that profitability lies beyond championships. We believe that the path lies in what we refer to as “esports+.” We believe that while most esports organizations are currently at phase 1.0 of the esports+ model, which is focusing on competitive results, as well as permanent league spots for revenue share and diversified revenue stream, we have moved beyond to phase 2.0, which is successfully discovering new value propositions along the esports industry value chain, such as our talent management, event production, creative studios and burgeoning advertising businesses. This stage of the esports+ model drives us to focus on bringing value to participants in the esports ecosystem such as game developers, esports teams, advertisers and esports leagues, together with fans and other end consumers. By staying at the forefront of the evolving esports+ model, we are able to secure strong and sustainable revenue streams that help us achieve and maintain profitability. For the year ended December 31, 2023, net revenues from our esports teams operation, talent management and events production businesses accounted for 25.9%, 62.9% and 11.2% of our net revenues, respectively, evidencing the diversity in our revenues.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Demonstrated success in acquisition and integration</w:t>
      </w:r>
    </w:p>
    <w:p>
      <w:pPr>
        <w:spacing w:after="0" w:line="148"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NIP Group was created through the successful merger of two prominent esports organizations, Ninjas in Pyjamas and eStar Gaming, with very different histories, which was the largest M&amp;A esports transaction ever. Since the merger, we have integrated the two organizations across geographies and cultures and developed a cohesive identity, strategy and vision for what NIP wants to achieve in the esports world. This demonstrated ability by our management to identify synergies and execute transactions provides us with a greater universe of opportunities for acquisitions and investments fit into our vision for esports+ and the NIP ecosystem.</w:t>
      </w: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Passionate management team supported by marquee shareholders</w:t>
      </w:r>
    </w:p>
    <w:p>
      <w:pPr>
        <w:spacing w:after="0" w:line="148"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Our co-chief executive officers, Mario Ho and Hicham Chahine, work together seamlessly to bring their expertise, know-how and most importantly, love for esports, to managing our Asia and western businesses.</w:t>
      </w:r>
    </w:p>
    <w:p>
      <w:pPr>
        <w:spacing w:after="0" w:line="116"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Mario currently serves as the CEO of our Asia business. He was previously the chief marketing officer of iDreamsky, a leading game publisher listed on the Hong Kong Stock Exchange, founded Victory 5 Esports, one of our predecessors, and is the current chairman of the Macau Esports Federation. Hicham currently serves as the CEO of our Western business. He was recruited straight out of high school to Formuesforvaltning, the largest privately owned wealth management firm in the Nordics, where he spent eight years managing the firm’s hedge fund investments. In 2016, he decided to pursue esports out of passion and joined Ninjas in Pyjamas as its CEO and began scaling the brand to what it is today. Hicham is currently an executive board member of the World Esports Association and serves on the Executive Council of BLAST Premier. Their passion for esports is the impetus behind everything that we do for our fans and our industry.</w:t>
      </w:r>
    </w:p>
    <w:p>
      <w:pPr>
        <w:spacing w:after="0" w:line="27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also supported by our marquee shareholders, including prominent institutional investors such as SIG, ZhenFund, Nyx Ventures, Diglife, and strategic investment partners from leading Internet platforms such as Douyu and 360.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pursue the following strategies to achieve our mission and vision: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Expand esports presence across geographies and titles</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plan to expand our esports presence through entering new geographies such as Southeast Asia, North America, the Middle East, Japan and Korea. We will also continue to identify popular esports titles</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39"/>
        <w:spacing w:after="0" w:line="258" w:lineRule="auto"/>
        <w:rPr>
          <w:sz w:val="20"/>
          <w:szCs w:val="20"/>
          <w:color w:val="auto"/>
        </w:rPr>
      </w:pPr>
      <w:r>
        <w:rPr>
          <w:rFonts w:ascii="Times New Roman" w:cs="Times New Roman" w:eastAsia="Times New Roman" w:hAnsi="Times New Roman"/>
          <w:sz w:val="18"/>
          <w:szCs w:val="18"/>
          <w:color w:val="auto"/>
        </w:rPr>
        <w:t>with a visible path to sustainability to expand into, such as Overwatch, Call of Duty, Mobile Legends and Street Fighter. Ultimately, our goal is to have a highly competitive flagship team in every relevant esports title in its largest global market, such as LPL in China, CS:GO in Europe and Rainbow Six in Brazil.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Leverage talent management capabilities to expand roster and influence</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continue to leverage our strengths in talent management and development to attract the best esports athletes and online entertainers to the NIP brand. In particular, we plan to sign free agents in the China region as their original contracts expire. We will also expand our talent management business to other markets suitable for our brand, with the aim to become one of the world’s leading esports and online entertainment agencies.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 specialized content creation and advertising offerings into esports world</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will build out our in-house creative studios and acquire relevant businesses to serve our esports brands, online entertainers, event productions, external brands, publishers in their strategy, content creation and production needs. Ultimately, our goal is to build award-winning creative studios, anchored in esports and gaming and operating in the largest markets we are present in. Our true global footprint and influence in the global esports industry also allows us to execute our strategy to become a one-stop shop offering specialized content creation and advertising services to help sponsors and advertisers capture views throughout the esports value chain.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Increase fan engagement and monetization</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fans form the foundation of our success, and we aim to drive sustainable and resilient growth by increasing engagement with our fans and in turn achieving greater lifetime value from each of our fans. We are currently exploring new consumption scenarios for our fans, such as digital and physical NIP gaming merchandise, as well as creating a fan universe that keeps fans meaningfully engaged with our organization and talent. For example, in January 2024, we launched The Dojo, a fully-fledged and scalable fan engagement platform.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Explore strategic acquisition and investment opportunities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We will selectively pursue acquisition and investment opportunities to supplement the organic growth of our core businesses, including purchasing esports league seats and strategic acquisitions of talent agencies and event production companies, as well as opportunities along the esports+ growth model. Our core focus for these acquisitions and investments will be profitability, as we believe in bringing the most value to our shareholders. We believe that becoming a U.S. public company through this offering will greatly bolster our ability to capture these opportunities.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Remain cutting edge for new esports mediums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esports industry is still at a nascent stage of growth, and we expect that it will evolve together with advances in gaming media and technology. As such, we are dedicated to remaining on the cutting edge of the gaming and esports world, and continue to be prepared for new gaming and competitive media in virtual reality, augmented reality, Web 3.0 and artificial intelligence. In addition, we are also diving into the expansion of esports into the metaverse and the use of digital collectibles to achieve new esports opportunities.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Continue growth along esports+ model</w:t>
      </w:r>
    </w:p>
    <w:p>
      <w:pPr>
        <w:spacing w:after="0" w:line="16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plan to continue our growth along the esports+ model to reach its Phase 3.0 and the extend revenue realization opportunities it provides in areas such as esports education and training, team app subscriptions, digital collectibles, esports real estates and IP licensing. We believe that the sky is the limit for what we can achieve in the esports world.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Esports Teams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operate two brands: Ninjas in Pyjamas and eStar Gaming, both competing in leagues at the highest level across a broad portfolio of video game titles. As of December 31, 2023, our eStar Gaming team won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7" w:lineRule="auto"/>
        <w:rPr>
          <w:sz w:val="20"/>
          <w:szCs w:val="20"/>
          <w:color w:val="auto"/>
        </w:rPr>
      </w:pPr>
      <w:r>
        <w:rPr>
          <w:rFonts w:ascii="Times New Roman" w:cs="Times New Roman" w:eastAsia="Times New Roman" w:hAnsi="Times New Roman"/>
          <w:sz w:val="18"/>
          <w:szCs w:val="18"/>
          <w:color w:val="auto"/>
        </w:rPr>
        <w:t>60 tournaments and approximately RMB77.2 million (US$10.9 million) in prize money from tournaments and our Ninjas in Pyjamas team won 57 tier-one tournaments and approximately US$8.2 million in prize money from tournaments. Among the top ten esports titles in the world in terms of prize pool, our wins in tier-1 world tournaments in CS:GO, Honor of Kings, Rainbow Six and FIFA represent more unique game titles with top-tier wins than any other esports organization as of January 31, 2023, according to the Frost &amp; Sullivan Report.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core asset of our esports teams is our talent pool. As of December 31, 2023, we had 125 athletes on our roster, with 97 based in Greater China, 19 based in Europe and 9 in Brazil, competing globally across</w:t>
      </w:r>
    </w:p>
    <w:p>
      <w:pPr>
        <w:jc w:val="both"/>
        <w:ind w:left="1260" w:right="559"/>
        <w:spacing w:after="0" w:line="255" w:lineRule="auto"/>
        <w:rPr>
          <w:sz w:val="20"/>
          <w:szCs w:val="20"/>
          <w:color w:val="auto"/>
        </w:rPr>
      </w:pPr>
      <w:r>
        <w:rPr>
          <w:rFonts w:ascii="Times New Roman" w:cs="Times New Roman" w:eastAsia="Times New Roman" w:hAnsi="Times New Roman"/>
          <w:sz w:val="18"/>
          <w:szCs w:val="18"/>
          <w:color w:val="auto"/>
        </w:rPr>
        <w:t>13 leagues in 12 esports titles. We are also the only esports organization in China with home courts in two cities, with our Ninjas in Pyjamas League of Legends team in Shenzhen and eStar Gaming Honor of Kings team in Wuhan.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Ninjas in Pyjamas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Ninjas in Pyjamas, our core PC/console esports brand, was founded in 2000 in Sweden and has pioneered the esports industry over two decades — driving the scene from its grassroots nascency and fielding competitive teams at the highest levels, earning 57 championship wins in tier one competition as of December 31, 2023. As of December 31, 2023, we had 43 athletes on the Ninjas in Pyjamas roster, competing globally across nine leagues in seven esports titles.</w:t>
      </w:r>
    </w:p>
    <w:p>
      <w:pPr>
        <w:spacing w:after="0" w:line="10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Our esports teams under Ninjas in Pyjamas compete in leagues across a broad portfolio of PC/console game titles, including:</w:t>
      </w:r>
    </w:p>
    <w:p>
      <w:pPr>
        <w:spacing w:after="0" w:line="54" w:lineRule="exact"/>
        <w:rPr>
          <w:sz w:val="20"/>
          <w:szCs w:val="20"/>
          <w:color w:val="auto"/>
        </w:rPr>
      </w:pPr>
    </w:p>
    <w:p>
      <w:pPr>
        <w:ind w:left="1800" w:right="419" w:hanging="180"/>
        <w:spacing w:after="0" w:line="255"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LPL, League of Legends professional league. China is widely considered to be one of the most competitive regions in League of Legends, the most popular esports title in the world. As a result, according to the Frost &amp; Sullivan Report, the LPL is the most viewed in League of Legends league in the world. We previously competed in the LPL as Victory 5, until Victory 5 was rebranded to Ninjas in Pyjamas starting from the 2023 LPL season following the merger between ESV5 and Ninjas in Pyjamas in January 2023. Victory 5 secured the first and third place in the 2022 LPL spring and summer splits, respectively.</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winners of ESL One: Cologne in 2014 and Weplay Academy League 2022 in CS:GO.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winner of 2021 Six Invitational in Rainbow Six.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winner of EA Sports Cup in 2023 in FIFA.</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Ninjas in Pyjamas is incredibly active in driving development of the esports ecosystem. It is one of the founding members of World Esports Association, or the WESA, an industry association founded in 2016 by esports industry leaders to professionalize esports through promoting collaboration among esports organizations, increased player representation, standardizing regulations, and creating revenue shares for teams. It is also founding member of BLAST Pro League and Louvre, the equivalent of ESL, and a key member of the FGS EA Sport FIFA franchise structure, as well as the R6 Share, a revenue sharing program franchise structure that governs Rainbow Six.</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Shinobi Studios</w:t>
      </w:r>
    </w:p>
    <w:p>
      <w:pPr>
        <w:spacing w:after="0" w:line="160"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In 2021, Ninjas in Pyjamas established Shinobi Sports together with traditional sports investment platform Aser Ventures. Shinobi was created as a vehicle to provide traditional sports organizations with Ninjas in Pyjamas’ expertise in building esports teams, allowing them to establish a presence in esports without having to develop that industry knowledge in-house. An initial pilot project was run with UK football club Leeds United FC, culminating in the establishment of Leeds Fury, the club’s online gaming community.</w:t>
      </w:r>
    </w:p>
    <w:p>
      <w:pPr>
        <w:spacing w:after="0" w:line="120"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As part of the collaboration, NIP’s professional FIFA player Olle “Ollelito” Arbin has participated in the past three years’ seasons of the ePremier League as a representative of LUFC, making it to the grand final in 2021, semi finals in 2022, and winning the grand final in 2023. Besides lending Ollelito to LUFC, the NIP creative and commercial teams advised on various business decisions leading up to the establishment of Leeds Fury, while LUFC simultaneously developed the in-house expertise to run the project indefinitely.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 2022, the project was incorporated fully into Ninjas in Pyjamas. Shinobi now constitutes part of NIP’s offering to partners, including content creation, brand building and esports team building and advisory. The traditional sports-to-esports pipeline is an under-explored high-potential business opportunity; as more traditional sports clubs open up to existing esports titles and new esports titles are created from existing sports, the ability to quickly set up a competitive squad and gain first-mover advantage will become increasingly valuable.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eStar Gaming</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eStar Gaming is our mobile esports brand. eStar Gaming was founded in 2014 in China. Currently, eStar Gaming is the top ranked team in the KPL, the Honor of Kings league in China, one of the most successful teams in KPL history in terms of number of titles and widely considered to be the most successful mobile esports team in the world, according to the Frost &amp; Sullivan Report. As of December 31, 2023, the eStar Gaming brand had 82 athletes, competing globally across four leagues in five esports titles.</w:t>
      </w:r>
    </w:p>
    <w:p>
      <w:pPr>
        <w:spacing w:after="0" w:line="116"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Our esports teams under eStar Gaming have been top-level contenders in leagues across a broad portfolio of mobile titles, including:</w:t>
      </w:r>
    </w:p>
    <w:p>
      <w:pPr>
        <w:spacing w:after="0" w:line="54" w:lineRule="exact"/>
        <w:rPr>
          <w:sz w:val="20"/>
          <w:szCs w:val="20"/>
          <w:color w:val="auto"/>
        </w:rPr>
      </w:pPr>
    </w:p>
    <w:p>
      <w:pPr>
        <w:ind w:left="1800" w:right="519" w:hanging="180"/>
        <w:spacing w:after="0" w:line="25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athletes, Siyuan “Huahai” Luo, and Linwei “Tanran” Sun, were selected to represent China in the Honor of Kings Asian Games 2023, and China eventually won the gold medal, which marks the first-ever gold medal in esports at the Asian Games; first place in the inaugural Honor of Kings International Championship in 2022; first place in the 2019 Honor of Kings World Champion Cup; first place in Honor of Kings International Championship 2016 summer; first place in the KPL 2022 spring, 2021 fall and 2019 spring splits; first place in the Honor of Kings Challenger Cup 2022 and 2021.</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of Duty Mobile — 2021 Call of Duty Mobile (CODM) Season 2, top four team in China.</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QQ Speed — 2018 Wechat Game Championship Cyber Games (WGC) tournament — Prop Group, champion.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Crossfire (PC) — 2022 China CrossFire Pro League (CFPL) Season 19, second place in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Crossfire (mobile) — 2022 CrossFire Mobile League (CFML) Season 12 Fall, second place in China.</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System for Esports Teams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have combined the best facets of western and eastern theory for competitive esports development and training to create a system designed for growth, longevity and performance. We consistently implement this system in selecting, cultivating and training our athletes and continue to refine it through the course of our participation in various leagues and game titles.</w:t>
      </w:r>
    </w:p>
    <w:p>
      <w:pPr>
        <w:spacing w:after="0" w:line="9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Ninjas in Pyjamas has over twenty years of esports development experience since the nascent stages of competitive esports, evolving from a group of enthusiastic gamers into professional esports athletes and having developed and adjusted its talent development strategies through a series of trials and errors through time. eStar Gaming has also demonstrated great success in the burgeoning competitive mobile games market in the past five years. Today, our esports talent development system is characterized by its deep roots in traditional professional training, well-established youth and academy training program, pro-team training mechanisms and comprehensive support system, all of which provide tremendous support to our athletes to achieve and maintain high-level performance. Ultimately, we are committed to building a sustainable competitive environment for our players.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Recruitment of Prospective Esports Athletes</w:t>
      </w:r>
    </w:p>
    <w:p>
      <w:pPr>
        <w:spacing w:after="0" w:line="160"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Our president and the founder of eStar Gaming, Mr. Liwei “xiaOt” Sun, debuted and won in his first international match in Starcraft at the age of 14. His personal experience as a wildly successful esports athlete brings him unique insight into the development and training of young players, which has guided eStar Gaming’s youth training program and our considerable effort and resources in recruiting new and development promising prospects. Leveraging the influence of eStar Gaming across popular social media such as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Wechat, Douyin, Weibo and Douyu, we post information on eStar Gaming’s annual tryouts, contact top-tier players for different game titles, and cooperate with online esports coaching platforms that have already accumulated considerable active users.</w:t>
      </w:r>
    </w:p>
    <w:p>
      <w:pPr>
        <w:spacing w:after="0" w:line="10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In addition, Ninjas in Pyjamas’s two decades of esports experience has resulted in carefully designed talent development programs. In December 2020, we introduced </w:t>
      </w:r>
      <w:r>
        <w:rPr>
          <w:rFonts w:ascii="Times New Roman" w:cs="Times New Roman" w:eastAsia="Times New Roman" w:hAnsi="Times New Roman"/>
          <w:sz w:val="18"/>
          <w:szCs w:val="18"/>
          <w:i w:val="1"/>
          <w:iCs w:val="1"/>
          <w:color w:val="auto"/>
        </w:rPr>
        <w:t>Path of a Ninja</w:t>
      </w:r>
      <w:r>
        <w:rPr>
          <w:rFonts w:ascii="Times New Roman" w:cs="Times New Roman" w:eastAsia="Times New Roman" w:hAnsi="Times New Roman"/>
          <w:sz w:val="18"/>
          <w:szCs w:val="18"/>
          <w:color w:val="auto"/>
        </w:rPr>
        <w:t>, a talent program for the future CS:GO players of Sweden. Together with Area Academy, creators of the successful Swedish Elitserien (Elite League) in CS:GO, we scout and support new generations of esports athletes through selecting grassroots players and providing with them the necessary guidance to turn professional. These players can attend NIP workshops and bootcamps in Stockholm, and earn opportunities to be signed to our official competition rosters.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Selection Process for Young Esports Participants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Participants in our youth training program operated by our Ninjas in Pyjamas brand typically range from ages 15 – 18, while participants in our youth training program operated by the eStar Gaming brand are over 18 years of age. Participants who have passed our initial screening process are invited to attend tryouts for various game titles, which consist of in-game demonstrations, training sessions and tryout matches. Participants are evaluated on their general performance, reflexes, game knowledge, agility, endurance and teamwork.</w:t>
      </w:r>
    </w:p>
    <w:p>
      <w:pPr>
        <w:spacing w:after="0" w:line="32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Once participants are selected into our youth training program, they will be provided with 24/7 on-site support and boarding, dining and traveling benefits on par with our pro teams. We also deploy proven coaching methods and reasonable training schedules for these young players to balance the growth in their gaming skills with quality of life and a sustainable, long- term esports career. For instance, for CS:GO’s five man rosters, our pro teams typically consist of a constant four-man core and an extra rotating slot filled by top athletes from our youth training program. This gives our participants an edge in engaging in the highest level of competitions without the pressure of having to deliver the highest level of performance instantly. Participants in our youth training program have demonstrated strong growth potential and success, as evidenced by the fact that four of our participants in CS:GO have gone on to play successfully for other top-tier esports organizations.</w:t>
      </w:r>
    </w:p>
    <w:p>
      <w:pPr>
        <w:spacing w:after="0" w:line="33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2023, we retain a pool of 48 participants in our youth training program across four different game titles in CS:GO, Honor of Kings, CODM, and CrossFire. Historically, participants who have successfully transitioned into pro teams had training time ranging from approximately 6 to 24 months at our youth training programs. Further, joining our team at a relatively young age has created a strong bond among our esports team members and coaches, thereby strengthening the attachment and loyalty of our athletes to our brand in the longer term.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Dedicated Coaching Method and Strong Player Performance</w:t>
      </w:r>
    </w:p>
    <w:p>
      <w:pPr>
        <w:spacing w:after="0" w:line="16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recruit top performing athletes from our youth training programs as well as athletes from outside our ecosystem with strong track record of gaming performance for our pro teams, often, leveraging the synergies with our other businesses.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known for maintaining a robust coaching approach, attracting prominent coaches with extensive training and team management skills and substantial tournament participation experience. We currently have professional coaches under contract, with an average of over six years’ experience in esports gaming.</w:t>
      </w:r>
    </w:p>
    <w:p>
      <w:pPr>
        <w:spacing w:after="0" w:line="9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With decades of experience in professional athlete development, we are also well-versed in bringing out the fullest potential of our star athletes. In 2012, Christopher “GeT_RiGhT” Alesund, now widely considered the best CS:GO player in history, joined Ninjas in Pyjamas and served under our brand for seven consecutive years. During that time he formed an integral part of a dominant Ninjas in Pyjamas team, and had won 87 matches without a single loss from the 2012 to 2013 splits. One of our Honor of Kings players, Linwei “Tanran” Sun, joined eStar Gaming’s youth training program in 2020 and was promoted to our pro team in 2021, and subsequently won five KPL championships since his KPL debut. In addition, in May 2023, a coach and three athletes from eStar Gaming were enlisted in the National Training Team for</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Asian Games in the Honor of Kings competition. The success of these star athletes demonstrate our strong ability in attracting, training and retaining top-tier esports talent, and offering them the best platforms for competition.</w:t>
      </w:r>
    </w:p>
    <w:p>
      <w:pPr>
        <w:spacing w:after="0" w:line="10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do not restrict our athletes from transferring to other teams. Our proven development system has broken records for KPL transfer fees multiple times, including a one-time transfer fee of RMB12 million for Zhejie “Zimo” Wu, who was trained by eStar Gaming.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Comprehensive Support System for Our Athletes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maintain the growth and longevity of our athletes through a series of scientifically tailored training programs and a comprehensive support system to fulfill their maximum potential and prolong their career cycles. Our coaches not only formulate gaming strategies by monitoring game version and meta changes and general trends in the industry, but also focus on details that benefit the long-term development of individual athletes and their specific tactics in a particular game. Furthermore, we provide comfortable accommodations at the training facilities for athletes and hire professionals for nutrition, relaxation and mental health.</w:t>
      </w:r>
    </w:p>
    <w:p>
      <w:pPr>
        <w:spacing w:after="0" w:line="32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are also committed to balancing performance with well-being. Ninjas in Pyjamas was the pioneer in introducing not only esports performance coaches but also psychologists, nutritionists and physical therapists in 2017. The support of our coaches goes beyond the gaming performance of our athletes and extends to their personal development. We believe this helps secure a more sustainable competitive environment for our athletes.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 of Our Esports Teams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esports teams currently generate revenue through a combination of sources, including:</w:t>
      </w:r>
    </w:p>
    <w:p>
      <w:pPr>
        <w:spacing w:after="0" w:line="102" w:lineRule="exact"/>
        <w:rPr>
          <w:sz w:val="20"/>
          <w:szCs w:val="20"/>
          <w:color w:val="auto"/>
        </w:rPr>
      </w:pPr>
    </w:p>
    <w:p>
      <w:pPr>
        <w:ind w:left="1800" w:right="779" w:hanging="180"/>
        <w:spacing w:after="0" w:line="284"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Prize money</w:t>
      </w:r>
      <w:r>
        <w:rPr>
          <w:rFonts w:ascii="Times New Roman" w:cs="Times New Roman" w:eastAsia="Times New Roman" w:hAnsi="Times New Roman"/>
          <w:sz w:val="18"/>
          <w:szCs w:val="18"/>
          <w:color w:val="auto"/>
        </w:rPr>
        <w:t>. Our esports teams compete in tournaments across a broad portfolio of video game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titles and earn tournament winnings based on performance.</w:t>
      </w:r>
    </w:p>
    <w:p>
      <w:pPr>
        <w:spacing w:after="0" w:line="50"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sharing with leagues</w:t>
      </w:r>
      <w:r>
        <w:rPr>
          <w:rFonts w:ascii="Times New Roman" w:cs="Times New Roman" w:eastAsia="Times New Roman" w:hAnsi="Times New Roman"/>
          <w:sz w:val="18"/>
          <w:szCs w:val="18"/>
          <w:color w:val="auto"/>
        </w:rPr>
        <w:t>. While the specifics of the revenue sharing model vary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specific league and teams involved, we typically share league revenue generated from various channels, such as sponsorships, advertisements, media rights, game props, and ticket sales. The revenue is split between the league and teams within the league, with the league taking a portion for their costs and expenses and the rest distributed to teams generally based on factors such as team performance, popularity, and event location. We also sell season tickets to matches held in our home courts.</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60"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Athlete transfer and rental fees</w:t>
      </w:r>
      <w:r>
        <w:rPr>
          <w:rFonts w:ascii="Times New Roman" w:cs="Times New Roman" w:eastAsia="Times New Roman" w:hAnsi="Times New Roman"/>
          <w:sz w:val="18"/>
          <w:szCs w:val="18"/>
          <w:color w:val="auto"/>
        </w:rPr>
        <w:t>. We derive revenue from the transfer and rental of our athletes.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athlete transfer and rental fees can be significant sources of revenue for us, especially for top-level players. Certain transfer or rental agreements may also include performance-related bonuses, such as bonuses for various in-game stat goals or games played, which can generate additional revenue for us.</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Sponsorship and advertising fees</w:t>
      </w:r>
      <w:r>
        <w:rPr>
          <w:rFonts w:ascii="Times New Roman" w:cs="Times New Roman" w:eastAsia="Times New Roman" w:hAnsi="Times New Roman"/>
          <w:sz w:val="18"/>
          <w:szCs w:val="18"/>
          <w:color w:val="auto"/>
        </w:rPr>
        <w:t>. Our esports teams partner with brands and advertisers to promote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products and services to our highly engaged and tech-savvy fan base. This includes traditional sponsorships, such as having the brand’s logo displayed on our player’s jerseys, our websites and social media platforms, as well as more innovative advertising campaigns, such as in-game sponsorships. For example, brands can sponsor our athletes’ in-game characters by having such characters wear clothing or use equipment featuring the brand’s logo.</w:t>
      </w:r>
    </w:p>
    <w:p>
      <w:pPr>
        <w:spacing w:after="0" w:line="60" w:lineRule="exact"/>
        <w:rPr>
          <w:rFonts w:ascii="Times New Roman" w:cs="Times New Roman" w:eastAsia="Times New Roman" w:hAnsi="Times New Roman"/>
          <w:sz w:val="18"/>
          <w:szCs w:val="18"/>
          <w:color w:val="auto"/>
        </w:rPr>
      </w:pPr>
    </w:p>
    <w:p>
      <w:pPr>
        <w:ind w:left="1800" w:right="479" w:hanging="180"/>
        <w:spacing w:after="0" w:line="284"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branded merchandise</w:t>
      </w:r>
      <w:r>
        <w:rPr>
          <w:rFonts w:ascii="Times New Roman" w:cs="Times New Roman" w:eastAsia="Times New Roman" w:hAnsi="Times New Roman"/>
          <w:sz w:val="18"/>
          <w:szCs w:val="18"/>
          <w:color w:val="auto"/>
        </w:rPr>
        <w:t>. We offer a wide range of esports branded merchandise featuring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esports teams and athletes to fans.</w:t>
      </w:r>
    </w:p>
    <w:p>
      <w:pPr>
        <w:spacing w:after="0" w:line="50"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 streaming revenue</w:t>
      </w:r>
      <w:r>
        <w:rPr>
          <w:rFonts w:ascii="Times New Roman" w:cs="Times New Roman" w:eastAsia="Times New Roman" w:hAnsi="Times New Roman"/>
          <w:sz w:val="18"/>
          <w:szCs w:val="18"/>
          <w:color w:val="auto"/>
        </w:rPr>
        <w:t>. Our esports teams collaborate with live streaming platforms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provide live streaming services featuring our athletes and more. Our esports teams thus receive live streaming revenue from the platforms which primarily includes signing fees and a share of the revenue generated from virtual gifts given to our athletes during live streaming.</w:t>
      </w:r>
    </w:p>
    <w:p>
      <w:pPr>
        <w:spacing w:after="0" w:line="58" w:lineRule="exact"/>
        <w:rPr>
          <w:rFonts w:ascii="Times New Roman" w:cs="Times New Roman" w:eastAsia="Times New Roman" w:hAnsi="Times New Roman"/>
          <w:sz w:val="18"/>
          <w:szCs w:val="18"/>
          <w:color w:val="auto"/>
        </w:rPr>
      </w:pPr>
    </w:p>
    <w:p>
      <w:pPr>
        <w:ind w:left="1800" w:right="659" w:hanging="180"/>
        <w:spacing w:after="0" w:line="267"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IP licensing</w:t>
      </w:r>
      <w:r>
        <w:rPr>
          <w:rFonts w:ascii="Times New Roman" w:cs="Times New Roman" w:eastAsia="Times New Roman" w:hAnsi="Times New Roman"/>
          <w:sz w:val="18"/>
          <w:szCs w:val="18"/>
          <w:color w:val="auto"/>
        </w:rPr>
        <w:t>. We grant a third-party licensee permission to use the Ninjas in Pyjamas brand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intellectual property to sell digital goods such as game props, skins or stickers in exchange for an agreed IP licensing fee.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addition, as the revenue model for an esports organization is constantly evolving along with the overall industry, we will continue to find new and innovative ways to monetize our fan base and generate revenues.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Talent Management Business</w:t>
      </w:r>
    </w:p>
    <w:p>
      <w:pPr>
        <w:spacing w:after="0" w:line="148"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We launched our talent management business in 2021 under the eStar Entertainment brand. We incubate and represent online entertainers and help them create and distribute diversified, engaging esports-and gaming-related content for live streaming and other online entertainment platforms, as well as engage in other commercialization activities. We also provide entertainment marketing and consulting services to global corporate brands.</w:t>
      </w:r>
    </w:p>
    <w:p>
      <w:pPr>
        <w:spacing w:after="0" w:line="103" w:lineRule="exact"/>
        <w:rPr>
          <w:sz w:val="20"/>
          <w:szCs w:val="20"/>
          <w:color w:val="auto"/>
        </w:rPr>
      </w:pPr>
    </w:p>
    <w:p>
      <w:pPr>
        <w:ind w:left="1260" w:right="879" w:firstLine="360"/>
        <w:spacing w:after="0" w:line="239" w:lineRule="auto"/>
        <w:rPr>
          <w:sz w:val="20"/>
          <w:szCs w:val="20"/>
          <w:color w:val="auto"/>
        </w:rPr>
      </w:pPr>
      <w:r>
        <w:rPr>
          <w:rFonts w:ascii="Times New Roman" w:cs="Times New Roman" w:eastAsia="Times New Roman" w:hAnsi="Times New Roman"/>
          <w:sz w:val="18"/>
          <w:szCs w:val="18"/>
          <w:color w:val="auto"/>
        </w:rPr>
        <w:t>We have a proven track record of connecting our online entertainers with global brands to create revenue opportunities and successful, sustained partnerships, including endorsements, appearances, peripherals, and digital and equity partnerships. We will continue to leverage and build momentum to further grow our advertising business, offering one-stop shop services to help sponsors and advertisers capture views throughout the esports value chain.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Online Entertainers</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 xml:space="preserve">Our talent management business provides athletes with a career beyond esports. While the average playing career length of esports athletes is typically five to eight years, according to the Frost &amp; Sullivan Report, a career as online entertainer can be substantially longer. The loyalty and strong bond we create with our athletes through their esports careers contribute to their continued cooperation with us as online entertainers. Many of our athletes who choose to sign with our talent management agency have expanded their footprints into the broader entertainment industry. For example, Guixin “Nuoyan” Guo, one of the most renowned players in KPL history who helped us win the 2019 Honor of Kings International Championship, is now signed with us as an entertainer. He has become a popular reality show star and was one of the contestants on </w:t>
      </w:r>
      <w:r>
        <w:rPr>
          <w:rFonts w:ascii="Times New Roman" w:cs="Times New Roman" w:eastAsia="Times New Roman" w:hAnsi="Times New Roman"/>
          <w:sz w:val="18"/>
          <w:szCs w:val="18"/>
          <w:i w:val="1"/>
          <w:iCs w:val="1"/>
          <w:color w:val="auto"/>
        </w:rPr>
        <w:t>Produce Camp 2021</w:t>
      </w:r>
      <w:r>
        <w:rPr>
          <w:rFonts w:ascii="Times New Roman" w:cs="Times New Roman" w:eastAsia="Times New Roman" w:hAnsi="Times New Roman"/>
          <w:sz w:val="18"/>
          <w:szCs w:val="18"/>
          <w:color w:val="auto"/>
        </w:rPr>
        <w:t>, one of the most popular shows produced by Tencent Video in 2021 with a reportedly record-breaking 5.5 billion views.</w:t>
      </w:r>
    </w:p>
    <w:p>
      <w:pPr>
        <w:spacing w:after="0" w:line="27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talent management business focuses on developing our roster of esports athletes to become successful online entertainers. At the same time, we also identify and recruit high-potential candidates outside of our ecosystem through a variety of avenues, such as retired athletes from other esports organizations, popular amateur players and non-esports online entertainers, by closely tracking competitive esports games and all major entertainment platforms. Our deep roots in the esports ecosystem and our strong brand reputation give us competitive advantages to attract top online entertainers and secure long-term partnership with them. For instance, we have signed Yilong “Sao Yi” Zhou, who is among the most popular streamers on streaming platform Douyu with subscribers of over 1.7 million as of April 30, 2024. Our portfolio of influential entertainers also includes Yang “Liu Taiyang” Liu, who produces diverse content relating to lifestyle, workout and daily routines and had over 6.8 million followers across all platforms as of April 30, 2024.</w:t>
      </w:r>
    </w:p>
    <w:p>
      <w:pPr>
        <w:spacing w:after="0" w:line="329"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We have also attracted celebrities from the greater entertainment world to our organization. In 2020, Jackson Wang, one of the world’s most famous pop idols and one of the most followed male artists on Instagram with approximately 33 million followers as of April 30, 2024, joined us as a partner and beneficial shareholder.</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collaborate with our signed entertainers both on exclusive and non-exclusive bases. Our agreements typically set forth the terms and conditions under which we will represent the entertainers and monetize their social media channels, outlining the revenue sharing arrangement, ownership of the content created by the entertainers, our right to use and distribute the content, etc. The terms of talent management agreements we enter into with our entertainers typically varies from three to five years. As of December 31, 2023, we had over 36,000 signed online entertainers, enabling us to connect with more than 33 million audience members and 66 million social media followers across platforms.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Cross-Platform Reach</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Our online entertainers generate a full range of content from live streaming to short videos, covering popular game titles such as Honor of Kings, League of Legends, Crossfire, DNF, Naraka: Bladepoint, and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Game for Peace. We have long-term cooperative relationships with major live streaming and other online entertainment platforms, such as Youtube, Douyu, Huya, Douyin and Kuaishou, helping them build vibrant communities where viewers can interact with each other and entertainers. Through the diverse and engaging content they generate, our entertainers help promote the platforms they use by attracting new viewers and create a sense of belonging and foster an appealing environment for viewers, leading to increased user engagement and growth for the platform. In 2022, Xiaocheng “Xiaochenya” Zhi and “Sao Yi” Zhou, both our signed streamers, were among the top 10 streamers on Douyu (based on their Douyu streaming revenue), demonstrating their popularity and commercial value.</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brand gravity has attracted social media and other platforms to collaborate with our top-performing online entertainers. Moreover, our online entertainers benefit from the expertise and vast resources of our esports teams and event production business to secure partnerships with a broad spectrum of brands and advertisers. Our expansive presence across platforms and synergistic effect with our other business segments provide our online entertainers immense commercial opportunities and offer brands and advertisers valuable exposure to meet their marketing objectives.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System</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offer comprehensive operation and marketing services to create successful online entertainers and support their career development. For online entertainers with limited experience, we provide basic courses to explain typical live streaming norms and coach them on basic skills needed for content creation. When such emerging online entertainers are able to create content independently, our operational focus would shifts to helping them attract and retain a fan base. In addition, once entertainers reach a sufficient fan base and stable content creation, we connect them with brands that suit their personalities and traits and assist our online entertainers in securing and implementing sustained partnerships with such brands.</w:t>
      </w:r>
    </w:p>
    <w:p>
      <w:pPr>
        <w:spacing w:after="0" w:line="114"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have built a dedicated talent development team of 23 members specialized in providing operations and marketing services to our online entertainers as of December 31, 2023. We have guidance on how online entertainers should appropriately behave in public and on social media to help them build a positive public image to support their career progression. Our talent development team is critical in creating a contact point between our online entertainers and the audience. For example, we help online entertainers increase their exposure by reviewing and publishing publicity materials, such as photographs and press releases, and keep the audience updated on the latest news about the online entertainers on various social media platforms. On the occasions where our entertainers face potential negative publicity, our talent development team will react promptly to formulate an appropriate response.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 of Our Talent Management Business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talent management business currently generates revenue from a variety of sources, including:</w:t>
      </w:r>
    </w:p>
    <w:p>
      <w:pPr>
        <w:spacing w:after="0" w:line="102" w:lineRule="exact"/>
        <w:rPr>
          <w:sz w:val="20"/>
          <w:szCs w:val="20"/>
          <w:color w:val="auto"/>
        </w:rPr>
      </w:pPr>
    </w:p>
    <w:p>
      <w:pPr>
        <w:ind w:left="1800" w:right="539" w:hanging="180"/>
        <w:spacing w:after="0" w:line="26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Live streaming revenue. </w:t>
      </w:r>
      <w:r>
        <w:rPr>
          <w:rFonts w:ascii="Times New Roman" w:cs="Times New Roman" w:eastAsia="Times New Roman" w:hAnsi="Times New Roman"/>
          <w:sz w:val="18"/>
          <w:szCs w:val="18"/>
          <w:color w:val="auto"/>
        </w:rPr>
        <w:t>Live streaming has been one of most popular ways for online entertainers,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particular esports athletes, to connect with fans. We help our entertainers manage and monetize their streams and share live streaming revenue from platforms with them.</w:t>
      </w:r>
    </w:p>
    <w:p>
      <w:pPr>
        <w:spacing w:after="0" w:line="65" w:lineRule="exact"/>
        <w:rPr>
          <w:rFonts w:ascii="Times New Roman" w:cs="Times New Roman" w:eastAsia="Times New Roman" w:hAnsi="Times New Roman"/>
          <w:sz w:val="18"/>
          <w:szCs w:val="18"/>
          <w:color w:val="auto"/>
        </w:rPr>
      </w:pPr>
    </w:p>
    <w:p>
      <w:pPr>
        <w:jc w:val="both"/>
        <w:ind w:left="1800" w:right="719" w:hanging="180"/>
        <w:spacing w:after="0" w:line="276"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revenue</w:t>
      </w:r>
      <w:r>
        <w:rPr>
          <w:rFonts w:ascii="Times New Roman" w:cs="Times New Roman" w:eastAsia="Times New Roman" w:hAnsi="Times New Roman"/>
          <w:sz w:val="18"/>
          <w:szCs w:val="18"/>
          <w:color w:val="auto"/>
        </w:rPr>
        <w:t>. Our entertainers can incorporate advertisements or product placement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videos and other content. We receive a share of the advertising revenue generated from such content.</w:t>
      </w:r>
    </w:p>
    <w:p>
      <w:pPr>
        <w:spacing w:after="0" w:line="279" w:lineRule="exact"/>
        <w:rPr>
          <w:rFonts w:ascii="Times New Roman" w:cs="Times New Roman" w:eastAsia="Times New Roman" w:hAnsi="Times New Roman"/>
          <w:sz w:val="18"/>
          <w:szCs w:val="18"/>
          <w:color w:val="auto"/>
        </w:rPr>
      </w:pPr>
    </w:p>
    <w:p>
      <w:pPr>
        <w:ind w:left="1800" w:right="999" w:hanging="180"/>
        <w:spacing w:after="0" w:line="28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Sponsorship deals. </w:t>
      </w:r>
      <w:r>
        <w:rPr>
          <w:rFonts w:ascii="Times New Roman" w:cs="Times New Roman" w:eastAsia="Times New Roman" w:hAnsi="Times New Roman"/>
          <w:sz w:val="18"/>
          <w:szCs w:val="18"/>
          <w:color w:val="auto"/>
        </w:rPr>
        <w:t>We help our signed entertainers negotiate and manage sponsorship deals,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brand partnerships, product placements, and sponsored content.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 Production Business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eStar Event business is our event production arm based in Wuhan, China, offering industry-leading event production services to game developers and publishers, live streaming platforms and other institutions. We operate a broad range of local and nationwide esports events, including esports matches, professional tournaments, and esports-inspired digital art exhibitions, all leveraging state-of-the-art gaming media and technology.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hosted around 400 events in over 70 cities in China since 2020,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39" w:hanging="180"/>
        <w:spacing w:after="0" w:line="259"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Home court games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engage in professional esports tournament operations and content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different brands. We recently hosted LPL 2021 summer split and KPL 2021 spring split matches in the Shenzhen NIP home court and Wuhan eStarPro home courts, respectively, which were live streamed across popular platforms such as Douyu, Huya and Tencent Video, achieving tens of millions in peak concurrent viewers per match.</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Tencent-related events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work extensively and closely with Tencent to promote their games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 the best esports experience to their audience. We were recognized by Tencent as one of its best regional event service providers in 2020 and 2021, demonstrating our strong ability to provide superior event production solutions. We organize matches, tournaments and other events for a variety of game titles, including Honor of Kings, League of Legends and CrossFire. In 2022, we were commissioned to organize the regional and provincial selection matches for the Fifth Honor of Kings China-wide Competition, which is the highest level of non-pro league competition approved by Tencent. By attracting more recreational players to participate in competitions for various Tencent-backed games, we have helped Tencent shape their competitive gaming landscape, drive player engagement and promote the popularity of their games.</w:t>
      </w:r>
    </w:p>
    <w:p>
      <w:pPr>
        <w:spacing w:after="0" w:line="90"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Ice &amp; Snow Games series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help partners outside of the esports ecosystem in China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produce their online and offline events, including games, exhibitions and promotional initiatives for local tourism and traditional sports. For instance, we co-hosted the nationwide </w:t>
      </w:r>
      <w:r>
        <w:rPr>
          <w:rFonts w:ascii="Times New Roman" w:cs="Times New Roman" w:eastAsia="Times New Roman" w:hAnsi="Times New Roman"/>
          <w:sz w:val="18"/>
          <w:szCs w:val="18"/>
          <w:i w:val="1"/>
          <w:iCs w:val="1"/>
          <w:color w:val="auto"/>
        </w:rPr>
        <w:t>Digital Ice and Snow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Games </w:t>
      </w:r>
      <w:r>
        <w:rPr>
          <w:rFonts w:ascii="Times New Roman" w:cs="Times New Roman" w:eastAsia="Times New Roman" w:hAnsi="Times New Roman"/>
          <w:sz w:val="18"/>
          <w:szCs w:val="18"/>
          <w:color w:val="auto"/>
        </w:rPr>
        <w:t>series in both 2021 and 2022, focused on promoting traditional winter sports through a ski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simulator game. As a part of this series, we introduced unique esports elements such as ice and snow themed Honor of Kings characters. The event consisted of online and offline regional competitions, with the finale held offline in Beijing in July 2021 and Wuhan in July 2022, respectively. Our event production helps attract traffic, rejuvenate local tourism and enhance the popularity of esports.</w:t>
      </w:r>
    </w:p>
    <w:p>
      <w:pPr>
        <w:spacing w:after="0" w:line="76" w:lineRule="exact"/>
        <w:rPr>
          <w:rFonts w:ascii="Times New Roman" w:cs="Times New Roman" w:eastAsia="Times New Roman" w:hAnsi="Times New Roman"/>
          <w:sz w:val="18"/>
          <w:szCs w:val="18"/>
          <w:color w:val="auto"/>
        </w:rPr>
      </w:pPr>
    </w:p>
    <w:p>
      <w:pPr>
        <w:ind w:left="1800" w:right="579" w:hanging="180"/>
        <w:spacing w:after="0" w:line="257"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Partnership with brands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collaborate with commercial brands and sponsors to increase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through a variety of esports-related events. For instance, in 2022, we hosted nationwide Honor of Kings matches for BYD Auto, a world-leading automobile manufacturer, with a target audience of younger generations, such as university students across China. A large number of these events were held in busy business districts across various major cities in China, and attracted over 5,000 participants from over 280 universities across China.</w:t>
      </w:r>
    </w:p>
    <w:p>
      <w:pPr>
        <w:spacing w:after="0" w:line="105"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Our event production services include event planning and management, live content capturing and production, and a comprehensive portfolio of support services. We offer customized solutions for each esports event, with a focus on optimizing the viewing experience of online and offline audiences.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Event Planning and Management</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provide game developers and promoters with solutions to promote their games and increase player engagement through methods such as organizing tournaments or maintaining leaderboards. These methods help foster a thriving competitive environment, which can drive player engagement and creating a more dynamic ecosystem for the game.</w:t>
      </w:r>
    </w:p>
    <w:p>
      <w:pPr>
        <w:spacing w:after="0" w:line="11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plan, execute and manage all aspects of each event, including advising on the overall theme, picking appropriate venues, engaging quality referees and commentators, designing schedules, and coordinating logistics and managing all participating teams. We operate both online and offline events which are broadcasted through live streaming platforms and other distribution channels either on a live or on recorded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Live Content Capturing and Production</w:t>
      </w:r>
    </w:p>
    <w:p>
      <w:pPr>
        <w:spacing w:after="0" w:line="148"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We have a dedicated team of experienced content production professionals who capture, produce and present exciting esports gameplay and entertainment at each esports match, with an aim to bring viewers both online and offline closer to the action. Leveraging their extensive experience in producing esports events and deep understanding of esports games, our content production professionals are able to capture the most exciting actions of athletes, such as their hand and finger movements and facial expressions, and present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game datapoints and statistics on live content screen instantaneously, to deliver memorable, engaging esports content to viewers. We also plan and design special effects to improve viewer experience. Shortly after live content is captured, we add in appropriate special effects, game statistics and/or commentary voiceover, after which the produced content is broadcasted to the offline arena as well as to various online distribution channels.</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also handle all technical aspects of event operations, including setting up and testing audio, lighting, video and staging gear at the live event venue, along with the highly skilled technicians who make sure the systems run smoothly to capture all of the excitement and drama of any event. We have a full range of equipment available in-house, including premier audio, lighting and video equipment, allowing us to deliver comprehensive, close-up coverage for an immersive spectator experience.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Event Production Support Services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offer a comprehensive range of event production support services, including venue preparation, stage designs, technical engineering, audio/ visual support and logistics. Our team of creative design technicians are capable of providing bespoke solutions for each individual event from large-scale stage and seating design to the crafting and integration of customized scenic elements, whether physical or virtual. We also use special effects during live events to elevate the drama and excitement.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 of Our Event Production Business</w:t>
      </w:r>
    </w:p>
    <w:p>
      <w:pPr>
        <w:spacing w:after="0" w:line="14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Our event production business currently generates revenue primarily from service fees for planning, creating, operating and managing a broad spectrum of events. We also generate revenues from brands and advertisers who pay us to sponsor events or advertise during events. This can include product placement, signage, advertising on event websites or social medial channels, and other marketing opportunities associated with an event.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Fans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have a strong and loyal global fan base. Our fans include fans who support NIP Group and its Ninjas in Pyjamas and eStar Gaming brands. As of December 31, 2023, our official social media accounts on Weibo, Twitter, Instagram and other platforms had combined followers of approximately 16 million. Our fans also include those support our athletes and online entertainers. Our athletes and online entertainers signed with our talent management agency business had total social media followers of approximately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99 million as of December 31, 2023, showing the robustness of our reach and the influence of our talent.</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have a global, young fan base primarily consisting of millennials, typically considered to be born between 1981 and 1996, and Gen Z’ers, typically considered to be born between 1997 and 2012. According to our analysis of data across major social media platforms, more than 80% of our fans were younger than 40, as of December 31, 2023. Millennials and Gen Z’ers are known to have significant purchasing power, according to the Frost &amp; Sullivan Report, and are often considered a key demographic for many businesses, including esports related businesses. Millennials have a strong interest in technology and digital media, as they are early adopters of new technologies. This includes gaming and esports, as they are open to new forms of entertainment and are willing to spend money on experiences they enjoy.</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At the same time, the spending power of Gen Z’ers continue to grow as they reach working age and start to advance their careers. Gen Z’ers have grown up in a digital world and is tech-savvy, which has led to distinct spending habits and preferences compared to previous generations. When it comes to entertainment, Gen Z’ers are more interested in digital and interactive experiences, which includes gaming and esports. According to the Frost &amp; Sullivan Report, Gen Z’ers have a higher interest in esports than any other age group, and they are more likely to participate in and watch esports events. They are more likely to be engaged in live streaming and other forms of interactive media, which creates opportunities for brands to reach and connect with this generation through sponsorship and advertising in the esports industry.</w:t>
      </w:r>
    </w:p>
    <w:p>
      <w:pPr>
        <w:spacing w:after="0" w:line="11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engage our fans across the most popular digital platforms, such as Weibo, Kuaishou, Douyin, Bilibili, Twitter, Instagram, TikTok, Facebook and YouTube. We track various metrics across platforms where we have presence to evaluate fan engagement and growth, including views, subscriptions, follower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7" w:lineRule="auto"/>
        <w:rPr>
          <w:sz w:val="20"/>
          <w:szCs w:val="20"/>
          <w:color w:val="auto"/>
        </w:rPr>
      </w:pPr>
      <w:r>
        <w:rPr>
          <w:rFonts w:ascii="Times New Roman" w:cs="Times New Roman" w:eastAsia="Times New Roman" w:hAnsi="Times New Roman"/>
          <w:sz w:val="18"/>
          <w:szCs w:val="18"/>
          <w:color w:val="auto"/>
        </w:rPr>
        <w:t>growth, level of interaction with post or content, areas of interest and time spent. During the three years ended December 31, 2023, followers of our main “Ninjas in Pyjamas” accounts on Facebook, Twitter, Instagram, Youtube and other platforms grew by 16% to reach approximately 3.0 million. During this time, these accounts accumulated over 730 million impressions, approximately 76 million views and approximately 40 million engagements. At the end of 2023, our main “eStarPro” account on Weibo had more than 4.8 million followers.</w:t>
      </w:r>
    </w:p>
    <w:p>
      <w:pPr>
        <w:spacing w:after="0" w:line="33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plan to implement a variety of strategies to grow our fan base and increase fan engagement. We will continue to maintain our strong brand identity and foster a sense of community among fans, by creating social media presence that appeals to fans, hosting events and providing quality experiences to fans, encouraging fan engagement through contests and other interactive activities, and offering exclusive content, such as behind-the-scene videos, player interviews, and live streams, to give fans a unique perspective on our esports teams and players.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Sponsors and Advertisers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provide our marketing partners truly global sponsorship opportunities, allowing them to cultivate fans across the world without being limited by geography. Our sponsorship portfolio includes premier brands such as Razer, FILA, Red Bull and Samsung. Our established global presence across Sweden, Brazil and China serves as a strong foothold to provide internationalized marketing solutions in the esports ecosystem in which we operate and beyond. Leveraging our esports competition and event production capabilities and network of game developers and promoters and online entertainers, we can create and execute innovative and diverse solutions to achieve the marketing goals of the brands and sponsors we partner with.</w:t>
      </w:r>
    </w:p>
    <w:p>
      <w:pPr>
        <w:spacing w:after="0" w:line="3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brand power of Ninjas in Pyjamas and eStar Gaming is particularly important to our marketing initiatives and our ability to gain traction in the industry and engage marketing partners. As we have grown our fan base and brand recognition and expanded our global footprint, we have become an attractive marketing partner for companies around the world. Over the years, we have broadened our sponsorship portfolio from primarily gaming-centric brands to mass-market sponsors spanning across the tech, computer hardware, retail and consumer, and finance industries.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Esports+ Model</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The esports industry is still at a stage of rapid growth and evolution with tremendous potential. Although we are deeply focused on securing the best competitive results for our esports teams across geographies and titles, we recognize the need for sustainable organic growth and that profitability lies beyond championships. We believe that the path lies in what we refer to as the “esports+” model.</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diagram illustrates the three phases of the esports+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137160</wp:posOffset>
            </wp:positionV>
            <wp:extent cx="4972050" cy="21856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72050" cy="21856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Phase 1.0 of the esports+ model primarily consists of the operation of esports clubs focusing on competitive results, as well as permanent league spots for revenue sharing and diversified revenue streams. We believe that most esports organizations are currently at phase 1.0 of the esports model, generating revenue primarily from prize money, league revenue sharing, athlete transfer and loan fees, and sponsorship and advertising fees.</w:t>
      </w:r>
    </w:p>
    <w:p>
      <w:pPr>
        <w:spacing w:after="0" w:line="335"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NIP Group has moved to phase 2.0 of the esports+ model by successfully discovering new value proposition along the esports industry value chain and generating revenue through our talent management, events production, creative studio and burgeoning advertising businesses. In our talent management business, we represent online entertainers including many of the most accomplished esports- and game-related influencers and streamers and support them with our strong brand partnerships and social media and digital operation capabilities. We primarily generate talent management revenue from advertising, sponsorship deals, live streaming, and events and tours. In the meantime, we provide entertainment marketing and consulting services to global corporate brands. In our event production business, we primarily generate revenues from event operation service fees, sponsorship and advertising. For the year ended December 31, 2023, net revenues from our esports teams operation, talent management and events production businesses accounted for 25.9%, 62.9% and 11.2% of our net revenues, respectively, evidencing the diversity in our revenues.</w:t>
      </w:r>
    </w:p>
    <w:p>
      <w:pPr>
        <w:spacing w:after="0" w:line="34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This stage of the esports+ model drives us to focus on bringing value to participants in the esports ecosystem such as game developers, esports teams, advertisers and esports leagues, together with fans and other end consumers. By staying at the forefront of the evolving esports+ model, we are able to secure strong and sustainable revenue streams that help us achieve and maintain profitability.</w:t>
      </w:r>
    </w:p>
    <w:p>
      <w:pPr>
        <w:spacing w:after="0" w:line="9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are actively exploring esports education related opportunities. In particular, we have entered into cooperation agreements with various education companies on esports education in the hope of alleviating the shortage of talent in the industry. For example, we collaborate with a long-established vocational education institution in China that started to formally offer an “Esports and Management” program in 2022, to help it create a comprehensive, professional esports education curriculum. We provide digital esports education solutions and professional coaches to deliver lessons and training on game strategy, team work, communication, mental preparation, and physical fitness, to help students develop the skills they need to succeed not only in competitive gaming but also in vocational development, both as individuals and as members of a team. Graduates of such programs can become popular candidates for internship and job opportunities on core teams of reputable game developers such as Tencent. In addition, we are planning to roll out esports hotels in China and around the world which can extend the attractiveness of esports experience to more offline space beyond traditional game venues. We had signed a joint venture agreement with a China’s leading hotel management group as of the date of this prospectus.</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More recently, we entered into a strategic collaboration framework agreement with Wuhan Optics Valley New Culture Investment Development Co., Ltd., or Optics Valley, an affiliate of Wuhan Culture Tourism Group Co., Ltd., in February 2023, aiming to promote the local esports scene to make Wuhan the top esports center in China. Under the framework agreement, Optics Valley will provide us with the venue, equipment and facilities as the new home court of eStar Gaming, or the Wuhan Arena, and we will host, on an annual basis, no less than 30 national and 20 provincial tournaments, as well as 12 large-scale esports-related events such as fan meetups and Digital Ice &amp; Snow Games. In addition, in the coming years we will open new offices, youth training center and esports talent school at the venue provided by Optics Valley to foster and grow the esports community around our Wuhan Arena, and will also license our IPs for building esports parks, fan clubs and hotels in the future.</w:t>
      </w:r>
    </w:p>
    <w:p>
      <w:pPr>
        <w:spacing w:after="0" w:line="12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Going forward, we plan to continue our growth along the esports+ model to reach its phase 3.0 and the extended revenue opportunities it provides in areas such as team app subscriptions, digital collectibles and IP licensing. We have entered into collaboration agreements with a number of digital collection platforms and have launched our digital collectibles in November 2022. Aiming to create a global benchmark for esports+, we are also actively building our proprietary IPs around the world in the fields of fashion, art and metaverse. In 2022 and 2023, we launched over 20 IP collaborations with companies spanning the telecommunication, automobile, sportswear, and various other industries, introducing co-branded vehicles,</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peripherals, clothing, beauty products, beverages, and gift boxes. We also license companies to use the image, including AI and virtual image of our athletes for promotion. We expect to further expand our IP collaborations to 40 by 2025.</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promote our esports-centric services and content and enhance our brand awareness through our website and social media accounts, and by sponsoring and participating in esports events. We also display our logos and play promotional videos for our business at esports tournaments we participate in. Our online entertainers also promote our brand and the esports events we participate in through their own live streams and social media accounts. We also engaged in online marketing and brand promotion activities such as collaborating with other popular brands, search engines, social media platforms and short-form video platforms. In addition, we also participate in various gaming expos and conferences, such as the Tencent esports annual conference and ChinaJoy, or China Digital Entertainment Expo &amp; Conference, the largest gaming and digital entertainment exhibition held in Asia.</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Security and Privacy</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access to and store certain data concerning our players, business partners and employees in the ordinary course of business. We also occasionally have access to limited data concerning online and offline viewers of our esports events, which is shared to us by third parties who collected and compiled the data. We have developed an internal policy to govern data security and how we may use and share data, to preserve individual personal information and privacy. We have a team of professionals who are dedicated to the ongoing review and monitoring of data security practices. We encrypt and store any personal data we collect on third-party cloud servers, which are protected by advanced anti-hacking measures and firewalls. We collect personal information in accordance with applicable laws and regulations as well as our own privacy policies, which are amended from time to time. To minimize the risk of data loss, we conduct regular data backup and data recovery tests. We have data disaster recovery procedures in place.</w:t>
      </w:r>
    </w:p>
    <w:p>
      <w:pPr>
        <w:spacing w:after="0" w:line="11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utilize a variety of technology solutions to detect risks and vulnerabilities in user privacy and data security, such as encryption, firewall, vulnerability scanning and log audits. We have established stringent internal protocols under which we grant classified access to encrypted personal data only to limited number of employees with strictly defined and layered access right, to ensure that data will not be accessed or disclosed improperly. In addition, we conduct regular stress tests performed by our information security department as well as third-party testing agencies. For a discussion of risks relating to data security and privacy, see “Risk Factors — Risks Related to Our Business and Industry — Our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rely on a combination of copyright, trademark, domain name, and trade secret laws and restrictions on disclosure to protect our intellectual property rights. As of December 31, 2023, we had 291 registered trademarks, registered copyrights to one piece of creative work and 16 pieces of software, and three domain names.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Esports is an emerging industry globally. Our business is rapidly evolving and we compete against a vast variety of fragmented firms across multiple industries, including well-established esports clubs, players in the talent management agency industry, traditional sports leagues, providers of event production services, and new entrants challenging our position in the esports and gaming industry. We compete to attract and retain participants in the esports and gaming industry, such as game developers and publishers, brands and sponsors, talented online entertainers, and esports gamers and audience.</w:t>
      </w:r>
    </w:p>
    <w:p>
      <w:pPr>
        <w:spacing w:after="0" w:line="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Our competitors may compete with us in a variety of ways, including by providing better and more innovative esports services, offering more monetization opportunities, creating high-quality and more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diverse content, fulfilling the evolving preferences of our target consumers, as well as conducting brand promotions and other marketing activities. While we believe that we compete favorably across these factors taken as a whole, new competitors will likely continue to emerge, and these competitors may have greater financial resources or brand awareness than we do.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We had 253 full-time employees as of December 31, 2023. The following tables set forth the breakdown of our full-time employees as of December 31, 2023 by function and location, respectively:</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40" w:type="dxa"/>
            <w:vAlign w:val="bottom"/>
          </w:tcPr>
          <w:p>
            <w:pPr>
              <w:spacing w:after="0"/>
              <w:rPr>
                <w:sz w:val="14"/>
                <w:szCs w:val="14"/>
                <w:color w:val="auto"/>
              </w:rPr>
            </w:pPr>
          </w:p>
        </w:tc>
      </w:tr>
      <w:tr>
        <w:trPr>
          <w:trHeight w:val="214"/>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06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Employees </w:t>
            </w:r>
            <w:r>
              <w:rPr>
                <w:rFonts w:ascii="Times New Roman" w:cs="Times New Roman" w:eastAsia="Times New Roman" w:hAnsi="Times New Roman"/>
                <w:sz w:val="24"/>
                <w:szCs w:val="24"/>
                <w:b w:val="1"/>
                <w:bCs w:val="1"/>
                <w:color w:val="auto"/>
                <w:vertAlign w:val="subscript"/>
              </w:rPr>
              <w:t>​</w:t>
            </w:r>
          </w:p>
        </w:tc>
      </w:tr>
      <w:tr>
        <w:trPr>
          <w:trHeight w:val="20"/>
        </w:trPr>
        <w:tc>
          <w:tcPr>
            <w:tcW w:w="45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2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Talent management</w:t>
            </w:r>
          </w:p>
        </w:tc>
        <w:tc>
          <w:tcPr>
            <w:tcW w:w="2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2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2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others</w:t>
            </w:r>
          </w:p>
        </w:tc>
        <w:tc>
          <w:tcPr>
            <w:tcW w:w="20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80" w:type="dxa"/>
            <w:vAlign w:val="bottom"/>
            <w:gridSpan w:val="3"/>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b w:val="1"/>
                <w:bCs w:val="1"/>
                <w:color w:val="auto"/>
              </w:rPr>
              <w:t>​253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1"/>
        </w:trPr>
        <w:tc>
          <w:tcPr>
            <w:tcW w:w="4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40" w:type="dxa"/>
            <w:vAlign w:val="bottom"/>
          </w:tcPr>
          <w:p>
            <w:pPr>
              <w:spacing w:after="0"/>
              <w:rPr>
                <w:sz w:val="24"/>
                <w:szCs w:val="24"/>
                <w:color w:val="auto"/>
              </w:rPr>
            </w:pPr>
          </w:p>
        </w:tc>
      </w:tr>
      <w:tr>
        <w:trPr>
          <w:trHeight w:val="214"/>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6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Employees </w:t>
            </w:r>
            <w:r>
              <w:rPr>
                <w:rFonts w:ascii="Times New Roman" w:cs="Times New Roman" w:eastAsia="Times New Roman" w:hAnsi="Times New Roman"/>
                <w:sz w:val="24"/>
                <w:szCs w:val="24"/>
                <w:b w:val="1"/>
                <w:bCs w:val="1"/>
                <w:color w:val="auto"/>
                <w:vertAlign w:val="subscript"/>
              </w:rPr>
              <w:t>​</w:t>
            </w:r>
          </w:p>
        </w:tc>
      </w:tr>
      <w:tr>
        <w:trPr>
          <w:trHeight w:val="20"/>
        </w:trPr>
        <w:tc>
          <w:tcPr>
            <w:tcW w:w="45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0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80" w:type="dxa"/>
            <w:vAlign w:val="bottom"/>
            <w:gridSpan w:val="3"/>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b w:val="1"/>
                <w:bCs w:val="1"/>
                <w:color w:val="auto"/>
              </w:rPr>
              <w:t>​253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-1731010</wp:posOffset>
            </wp:positionV>
            <wp:extent cx="4749165"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-1422400</wp:posOffset>
            </wp:positionV>
            <wp:extent cx="474916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-2039620</wp:posOffset>
            </wp:positionV>
            <wp:extent cx="4749165"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-359410</wp:posOffset>
            </wp:positionV>
            <wp:extent cx="4749165" cy="1631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-668020</wp:posOffset>
            </wp:positionV>
            <wp:extent cx="4749165"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5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employees and our culture are critical to our success. We strive to maintain a collegial and creative corporate culture. We have various recruiting channels and do our best to provide our recruits with great career development possibilities. In addition to on-the-job training, we also have established various onsite and online training programs to keep our employees abreast of industry trends. Our training program topics cover professional and leadership skills, technology, and regulatory developments, focusing on both our daily business operations and each employee’s individual career development. We believe that our compensation and benefits packages are competitive within our industry. We have not experienced any significant labor disputes. We believe that we maintain good relationships with our employees. None of our employees in China are represented by labor unions.</w:t>
      </w:r>
    </w:p>
    <w:p>
      <w:pPr>
        <w:spacing w:after="0" w:line="10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generally enter into standard confidentiality and employment agreements with our employees to cover matters such as salaries, benefits and grounds for termination. The contracts with our key personnel typically include a non-solicitation covenant, as well as a standard non-compete covenant that prohibits the employee from competing with us, directly or indirectly, during his or her employment and for two years, or such other period agreed between the employee and us, after the termination of his or her employment, provided that we pay a certain amount of compensation during the restriction period.</w:t>
      </w:r>
    </w:p>
    <w:p>
      <w:pPr>
        <w:spacing w:after="0" w:line="120"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As required by local regulations in the country where we operate, we participate in various employee social security plans that are administered by municipal and provincial governments for our full-time employees. In China, such required social security plans include housing, pension, medical insurance, unemployment insurance, injury insurance and maternity insurance. We are required under PRC law to make contributions to employee benefit plans for our PRC-based full-time employees at</w:t>
      </w:r>
    </w:p>
    <w:p>
      <w:pPr>
        <w:spacing w:after="0" w:line="3"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specified percentages of the total salaries, bonuses and certain allowance of our employees, up to a maximum amount specified by the relevant local governments in China from time to time. We are also required to make contributions to mandated employee provident fund schemes required by local laws for our employees in other jurisdictions.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 and Properties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principal business operations are located in Stockholm, Sweden, Sao Paolo, Brazil, and both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Shenzhen and Wuhan, China. We also have office facilities in Shanghai, China. As of December 31, 2023,</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we leased 21 properties mainly in Wuhan, Shenzhen, Shanghai and Chengdu in China and Stockholm in Sweden with an aggregate gross floor area of over 47,000 square meters. These leases vary in duration from four months to ten years. We intend to acquire additional space as we add employees and expand geographically.</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maintain standard benefit plans required by PRC laws and regulations, including pension insurance, medical insurance, workplace injury insurance, unemployment insurance, and maternity insurance. We believe our insurance coverage for our Swedish subsidiary and its representatives to be adequate, taking its business and risks of operations into account. For a discussion of risks relating to our insurance coverage, see “Risk Factors — Risks Related to Our Business and Industry — Our insurance may not sufficiently cover, or may not cover at all, losses and liabilities we may encounter during the ordinary course of operation.”</w:t>
      </w:r>
    </w:p>
    <w:p>
      <w:pPr>
        <w:spacing w:after="0" w:line="325"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consider our insurance coverage to be sufficient for our business operations and is consistent with customary industry practice in Sweden and China. We periodically review our insurance coverage to ensure that it remains to be sufficient.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prioritize corporate social responsibility as an important aspect of our business. Since our inception, we have implemented several initiatives to create a positive impact on society, including supporting causes such as environmental sustainability and conservation, education, poverty alleviation, and youth empowerment through various partnerships and programs. Additionally, we prioritize diversity and inclusion as an integral part of our organization. We have been actively supporting and participating in socially responsible programs that align with our core values and mission, to contribute to the betterment of the global esports community and our broader society.</w:t>
      </w:r>
    </w:p>
    <w:p>
      <w:pPr>
        <w:spacing w:after="0" w:line="11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Environmental sustainability. </w:t>
      </w:r>
      <w:r>
        <w:rPr>
          <w:rFonts w:ascii="Times New Roman" w:cs="Times New Roman" w:eastAsia="Times New Roman" w:hAnsi="Times New Roman"/>
          <w:sz w:val="18"/>
          <w:szCs w:val="18"/>
          <w:color w:val="auto"/>
        </w:rPr>
        <w:t>In line with our commitment to sustainable development, we 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collaborate with the World Wide Fund for Nature (WWF) to support the global Earth Hour campaigns. Earth Hour is a significant global initiative that encourages people around the world to power down their electronics as a symbolic gesture of support for nature and the planet. As part of our environmental efforts, our esports players have taken initiatives on Weibo, promoting environmental protection practices. These initiatives include advocating for the use of durable alternatives to single-use products, encouraging walking or cycling instead of relying on cars, and promoting upcycling as a creative way to repurpose unused or unwanted items. In Europe, Ninjas in Pyjamas attended the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of the Conference of the Parties to the United Nations Framework Convention on Climate Change, also known as “COP27”, and signed the Sustainable Web Manifesto, declaring its commitment to creating a sustainable internet. In particular, Ninjas in Pyjamas is committed to reducing its carbon dioxide emissions by 30% through initiatives such as relocating the data centers it uses to the north of Sweden where the net carbon production is of zero gas emissions. As part of the effort, Ninjas in Pyjamas will also be moving from Chrome to a sustainable web browser to reduce the usage of fossil fuels for websites. In addition, Ninjas in Pyjamas is in the progress of launching a variety of sustainably-made home and office products, including phone cases made of linseed and water bottles made with recycled steel from containers and shipwrecks, through the partnership with a Swedish climate-positive lifestyle brand.</w:t>
      </w:r>
    </w:p>
    <w:p>
      <w:pPr>
        <w:spacing w:after="0" w:line="268" w:lineRule="exact"/>
        <w:rPr>
          <w:sz w:val="20"/>
          <w:szCs w:val="20"/>
          <w:color w:val="auto"/>
        </w:rPr>
      </w:pPr>
    </w:p>
    <w:p>
      <w:pPr>
        <w:jc w:val="center"/>
        <w:ind w:right="-640"/>
        <w:spacing w:after="0"/>
        <w:tabs>
          <w:tab w:leader="none" w:pos="120" w:val="left"/>
        </w:tabs>
        <w:rPr>
          <w:sz w:val="20"/>
          <w:szCs w:val="20"/>
          <w:color w:val="auto"/>
        </w:rPr>
      </w:pPr>
      <w:r>
        <w:rPr>
          <w:rFonts w:ascii="Times New Roman" w:cs="Times New Roman" w:eastAsia="Times New Roman" w:hAnsi="Times New Roman"/>
          <w:sz w:val="18"/>
          <w:szCs w:val="18"/>
          <w:i w:val="1"/>
          <w:iCs w:val="1"/>
          <w:color w:val="auto"/>
        </w:rPr>
        <w:t>COVID-19 outbreak relief efforts.</w:t>
      </w:r>
      <w:r>
        <w:rPr>
          <w:sz w:val="20"/>
          <w:szCs w:val="20"/>
          <w:color w:val="auto"/>
        </w:rPr>
        <w:tab/>
      </w:r>
      <w:r>
        <w:rPr>
          <w:rFonts w:ascii="Times New Roman" w:cs="Times New Roman" w:eastAsia="Times New Roman" w:hAnsi="Times New Roman"/>
          <w:sz w:val="18"/>
          <w:szCs w:val="18"/>
          <w:color w:val="auto"/>
        </w:rPr>
        <w:t>During the challenging times of the COVID-19 outbreak, we</w:t>
      </w:r>
    </w:p>
    <w:p>
      <w:pPr>
        <w:spacing w:after="0" w:line="18" w:lineRule="exact"/>
        <w:rPr>
          <w:sz w:val="20"/>
          <w:szCs w:val="20"/>
          <w:color w:val="auto"/>
        </w:rPr>
      </w:pPr>
    </w:p>
    <w:p>
      <w:pPr>
        <w:ind w:left="1260" w:right="539"/>
        <w:spacing w:after="0" w:line="241" w:lineRule="auto"/>
        <w:rPr>
          <w:sz w:val="20"/>
          <w:szCs w:val="20"/>
          <w:color w:val="auto"/>
        </w:rPr>
      </w:pPr>
      <w:r>
        <w:rPr>
          <w:rFonts w:ascii="Times New Roman" w:cs="Times New Roman" w:eastAsia="Times New Roman" w:hAnsi="Times New Roman"/>
          <w:sz w:val="18"/>
          <w:szCs w:val="18"/>
          <w:color w:val="auto"/>
        </w:rPr>
        <w:t>stepped up our efforts to support those affected. Leveraging our experience in operating online events, we collaborated with a renowned psychologist to conduct live streaming courses on Huya, aiming to help individuals in managing emotional stress during the pandemic. The courses garnered significant attention, with peak viewership exceeding 500,000. Additionally, we made a donation of RMB500,000 in 2020 to contribute to the containment and prevention of the spread of COVID-19. In Europe, Ninjas in Pyjamas participated in Gamers Without Borders, an event that features a number of different esports tournaments, including games such as CS:GO, FIFA and Rainbow Six, with a goal to use the power of gaming to make a positive impact on the world. The event is known for its large prize pools, with millions of dollars donated each year to support charitable organizations that are working to improve the lives of people in need. Gamers Without Borders in 2021 raised funds to support global COVID-19 relief efforts, with a prize pool of US$10 million. Ninjas in Pyjamas competed in the CS:GO tournament and finished in 5th-6th place.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Henan floods relief efforts. </w:t>
      </w:r>
      <w:r>
        <w:rPr>
          <w:rFonts w:ascii="Times New Roman" w:cs="Times New Roman" w:eastAsia="Times New Roman" w:hAnsi="Times New Roman"/>
          <w:sz w:val="18"/>
          <w:szCs w:val="18"/>
          <w:color w:val="auto"/>
        </w:rPr>
        <w:t>In July 2021, Zhengzhou, the capital city of Henan province in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catastrophic flooding due to heavy rainfall. The extreme weather conditions led to an unprecedented volume of water accumulation, overwhelming the city’s drainage system and causing significant damage to infrastructure. Tragically, the flooding resulted in the loss of many lives. We made a donation of RMB1 million aimed to provide swift assistance to those affected by the floods and aid in the overall recovery and rebuilding process.</w:t>
      </w:r>
    </w:p>
    <w:p>
      <w:pPr>
        <w:spacing w:after="0" w:line="11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Animal protection. </w:t>
      </w:r>
      <w:r>
        <w:rPr>
          <w:rFonts w:ascii="Times New Roman" w:cs="Times New Roman" w:eastAsia="Times New Roman" w:hAnsi="Times New Roman"/>
          <w:sz w:val="18"/>
          <w:szCs w:val="18"/>
          <w:color w:val="auto"/>
        </w:rPr>
        <w:t>We collaborate with non-profit organizations devoted to protecting endangered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species. In partnership with the Wuhan Baiji Conservation Foundation, an esteemed charitable organization established in 1996, we strive to raise public awareness about the protection of Yangtze finless porpoise —  an adorable and highly intelligent dolphin species that is critically endangered. Through financial contributions and participation in fundraising events, we support efforts to prevent the extinction of this remarkable cetacean, the last remaining species of its kind in the Yangtze river. In line with our dedication, we have chosen the Yangtze finless porpoise as our cherished mascot.</w:t>
      </w:r>
    </w:p>
    <w:p>
      <w:pPr>
        <w:spacing w:after="0" w:line="11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Poverty alleviation initiatives. </w:t>
      </w:r>
      <w:r>
        <w:rPr>
          <w:rFonts w:ascii="Times New Roman" w:cs="Times New Roman" w:eastAsia="Times New Roman" w:hAnsi="Times New Roman"/>
          <w:sz w:val="18"/>
          <w:szCs w:val="18"/>
          <w:color w:val="auto"/>
        </w:rPr>
        <w:t>We participate in initiatives that aim to provide support for children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economically underdeveloped areas in China. For example, in May 2022, our esports teams participated in a charity initiative by the China Siyuan Project Poverty Alleviation Foundation and established the “eStar Love Art Classroom” at an elementary school located in rural Yichang, Hubei. We aim to provide resources and facilities for art education to children in that area, hoping to nurture their imagination, self-expression, and culture appreciation, enhancing their overall development. In September 2022, one of our esports players donated drone teaching kits to an elementary school in Zhengzhou, Henan. Working with drones can provide students with hands-on and captivating learning experience in science experiments that can inspire their curiosity and passion for science and technology.</w:t>
      </w:r>
    </w:p>
    <w:p>
      <w:pPr>
        <w:spacing w:after="0" w:line="10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 We emphasize diversity and inclusion, promoting equal opportunities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representation within our organization. We launched our first all-female teams in CS:GO in September 2022 and plan to assemble all-female rosters for more game titles. We believe our continuous investment and effort in creating opportunities for women to participate in esports can inspire more female players to pursue careers in gaming and technology.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0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“Risk Factors — Risks Related to Our Business and Industry — Pending or future litigations, arbitrations, governmental investigations and other legal proceedings could have a material and adverse impact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EGULATION</w:t>
      </w:r>
    </w:p>
    <w:p>
      <w:pPr>
        <w:spacing w:after="0" w:line="173"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Esports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Provisional Regulations on Esports Management, which was promulgated by General Administration of Sport of China and came into effect on July 24, 2015, provided that any international and national esports events that are not organized by the Sports Information Center of the General Administration of Sport of China, including commercial, mass, non-profit esports events, do not need approval or permit, and any legal entity can host such esports events.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Commercial Performance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the Regulations for the Administration of Commercial Performances (Revised in 2020), which was promulgated by State Council on July 7, 2005, and thereafter amended on July 22, 2008, July 18, 2013, February 6, 2016, and November 29, 2020, respectively, foreign investors may legally establish performance brokerage agencies within the territory of the PRC. To engage in commercial performance business activities, a performance brokerage agency shall have three or more full-time performance brokers and funds for the relevant business and shall file an application with the culture administrative department of the people’s government of a province, autonomous region or centrally administered municipality. The culture administrative department shall make a decision within 20 days from the receipt of the application; where an approval is given, a commercial performance permit shall be issued. No entity or individual may counterfeit, alter, rent, lend, buy or sell any commercial performance permit, approval document or business license. Furthermore, if a performance brokerage agency engaged in any commercial performance business activity without such permit, the culture administrative department of the people’s government at county level shall ban the agency, confiscate its performance equipment and illegal proceeds, and impose a fine in the range of eight to ten times of its illegal proceeds. Where there are no illegal proceeds or the illegal proceeds are less than RMB10,000, a fine from RMB50,000 to RMB100,000 shall be imposed.</w:t>
      </w:r>
    </w:p>
    <w:p>
      <w:pPr>
        <w:spacing w:after="0" w:line="344"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On August 28, 2009, the Ministry of Culture promulgated the Implementation Rules to the Administrative Regulations on the Commercial Performance, which was last amended on May 13, 2022 with immediate effect, further provides that the commercial performance provided in the Administrative Regulations on the Commercial Performance refers to the on-site cultural and artistic performances to the public for the purpose of making profits with methods including selling tickets or getting sponsors, paying or remunerating performing entities or individuals, using the performances as a medium for promotions or for promoting sale of products and in other profitable forms.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August 30, 2021, the MCT published the Internet Performance Brokerage Agencies Measures, according to which an internet performance brokerage agency shall obtain a commercial performance license, not promote their hosts by encouraging virtual gifting with rankings and fake advertisements, and not falsely induce users to consume user tokens or provide virtual gifting. A fine within the range of eight to ten times of the illegal proceeds and confiscation of illegal proceeds might be imposed on agencies engaged in commercial performance activities without approval. The MCT gives a grace period of 18 months, or until February 28, 2023, for online performance talent management agencies to obtain the license. On October 10, 2022, such grace period was further extended to February 29, 2024, according to an announcement by the MCT.</w:t>
      </w:r>
    </w:p>
    <w:p>
      <w:pPr>
        <w:spacing w:after="0" w:line="32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December 13, 2021, the MCT issued Measures for the Administration of Performance Brokers, which came into effect on March 1, 2022, and provides that performance brokers activities include performance organization, production, marketing, performance intermediary, agency, commission trade, actors’ signing, promotion, agency and other activities. Persons engaged in performance brokerage activities within the territory of the PRC shall pass the performance brokerage qualification examination and obtain the performance brokerage qualification certificate.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Sweden has enacted the Public Order Act (1993:1617), which contains provisions on public gatherings and events and the conditions for organizing such gatherings or events. The Public Order Act thus imposes restrictions on the fundamental right to organize meetings and to conduct demonstrations guaranteed in the Swedish constitution, with the purpose to ensure the gathering is peaceful and safe for the participants, and to ensure the maintenance of law and order.</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Competitions and sports shows are considered to be public events, to the extent such events are held in a public place or a place accessible to the public. The fact that an entrance fee must be paid in order to enter the area where the event is held, does not affect the assessment of whether the place is considered to be accessible to the public. However, if the event is limited to certain invited guests or members of a certain association, such an event would typically not be considered to be a public gathering or assembly.</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license is only required to host public events held in public places. Arenas are typically not considered to be public spaces, and thus do not require any license. Nevertheless, when a public event is held in an area covered by a zoning plan, the police authority must be notified of the event. This notification obligation also applies where a public event is held outside, and where there, due to the high number of expected participants, are risks that public order is disrupted, that safety is jeopardized or that the nearby area or traffic is disturbed. Notifications shall be made orally or in writing no later than five days prior to the public event.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Hosting Large-Scale Mass Activities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 September 14, 2007, the State Council promulgated the Regulations for the Security Administration of Large-Scale Mass Activities, which became effective from October 1, 2007, regulates that organizers of large-scale mass activities like sports events, concerts and performances are responsible for such activities’ security and should apply for security permits in advance if such activities with more than 1,000 participants, a violation of which will cause fine and confiscation of illegal gains by the authorities.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There is no legislation in Sweden specifically regulating hosting of large-scale mass activities. With regard to legislations covering public gatherings and events, please refer to the section on “Regulations on Commercial Performance” above.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Production and Operation of Radio and Television Programs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August 8, 2022, the National Radio and Television Administration promulgated a draft of Regulations on the Administration of Production and Operation of Radio, Television and Internet Programs for public consultations, which expanded the application scope of the license to include brokerage agencies organizing actors, streamers, etc. to engage in program productions. Any foregoing entities that engage in the production of radio and television programs are required to apply for a license from the SARFT or its local level counterparts. Since the Regulations on the Administration of Production and Operation of Radio, Television and Internet Programs has not been formally adopted as of the date of this prospectus, the revised draft (especially its operative provisions) and its anticipated adoption or effective date are subject to further changes with substantial uncertainty.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Swedish Press and Broadcasting Authority distinguishes between five different types of internet media: websites and databases, web television and web radio, video on demand, podcast radio, and newsletters. Every type of media comes with its own set of rights and obligations, of which some require registration with the Swedish Press and Broadcasting Authority. Failure to fulfill the registration obligation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can result in an injunction subject to penalties. In some cases, when registering, as a provider of any of the categories of internet media, it is also necessary to register a publisher. Failure to comply can result in a fine or, in the most extreme cases, constitute criminal conduct for which monetary fines and imprisonment may be imposed. Additionally, online entertainers and on-demand video providers must ensure that recipients of their services always have easy access to identifying information, such as the name of the organization, geographical as well as e-mail addresses, and information on the competent supervisory authority. Failure to provide the information may result in an injunction possibly combined with penalties.</w:t>
      </w:r>
    </w:p>
    <w:p>
      <w:pPr>
        <w:spacing w:after="0" w:line="114"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Streaming and on-demand video services might also fall under the Swedish Radio and Television Act (2010:696), regulating radio and television broadcasts and on-demand television in Sweden, based on where the media service will be considered established. The Swedish Radio and Television Act contains rules on the content of broadcasts, advertising, sponsorships and product placement, as well as rules regarding accessibility for individuals with disabilities. Failure to comply with these rules may result in penalties, ranging from SEK 5,000 to SEK 5,000,000, however, never greater than 10% of the relevant undertaking’s annual turnover based on the previous financial year.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Internet Security and Data Security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On July 30, 2021, the State Council issued the Security Protection Regulations of Critical Information Infrastructure (the “CII Regulations”), which came into effect on September 1, 2021. Pursuant to the</w:t>
      </w: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 These provisions were newly issued, and detailed rules or explanations may be further enacted with respect to the interpretation and implementation of such provisions, including rules on identifying critical information infrastructures in different industries and sectors.</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November 7, 2016, the Standing committee of the NPC, or the SCNPC, promulgated the Cyber Security Law of the PRC, or the Cyber Security Law, which became effective on June 1, 2017. The Cyber Security Law requires network operators to comply with laws and regulations and fulfill their obligations to safeguard security of the network when conducting business and providing services. The Cyber Security Law further requires network operators to take all necessary measures in accordance with applicable laws, regulations, and compulsory national requirements to safeguard the safe and stable operation of the networks, respond to cyber security incidents effectively, prevent illegal and criminal activities, and maintain the integrity, confidentiality and usability of network data.</w:t>
      </w:r>
    </w:p>
    <w:p>
      <w:pPr>
        <w:spacing w:after="0" w:line="124"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On December 28, 2021, the CAC published the Revised Measures for Cybersecurity Review (the “Revised CAC Measures”), which became effective on February 15, 2022, and superseded the Measures for Cybersecurity Review promulgated on April 13, 2020. The Revised CAC Measures provides that a critical information infrastructure operator purchasing network products and services, and platform operators carrying out data processing activities which affect or may affect national security, must apply for cybersecurity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82" w:lineRule="auto"/>
        <w:rPr>
          <w:sz w:val="20"/>
          <w:szCs w:val="20"/>
          <w:color w:val="auto"/>
        </w:rPr>
      </w:pPr>
      <w:r>
        <w:rPr>
          <w:rFonts w:ascii="Times New Roman" w:cs="Times New Roman" w:eastAsia="Times New Roman" w:hAnsi="Times New Roman"/>
          <w:sz w:val="18"/>
          <w:szCs w:val="18"/>
          <w:color w:val="auto"/>
        </w:rPr>
        <w:t>review. The Revised CAC Measures also provides that a platform operator with more than one million users’ personal information aiming to list abroad must apply for cybersecurity review.</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June 10, 2021, the SCNPC promulgated the PRC Data Security Law, which has taken effect in September 2021. The Data Security Law introduces a data classification and hierarchical protection system based on the materiality of data in economic and social development, as well as the degree of harm it will cause to national security, public interests, or legitimate rights and interests of persons or entities when such data is tampered with, destroyed, divulged, or illegally acquired or used. It also provides for a security review procedure for the data activities which may affect national security. On November 14, 2021, the CAC published the Administrative Regulations on Internet Data Security (Draft for Comments) (the “Draft Regulations on Internet Data Security”) for public comments. The Draft Regulations on Internet Data Security covers a wide range of internet data security issues, including the supervision and management of data security in the PRC, and applies to situations using networks to carry out data processing activities. The Draft Regulations on Internet Data Security specified that data processors who process the personal information of more than one million individuals and seek to go public overseas shall apply for cybersecurity review. In addition, the Draft Regulations on Cyber Data Security Management also regulates other specific requirements in respect of the data processing activities conducted by data processors through the internet in view of personal data protection, important data safety, cross-broader data safety management and obligations of network platform operators. As of the date of this prospectus, the Draft Regulations on Internet Data Security was released for public comment only, and the provisions and the anticipated adoption or effective date may be subject to change with substantial uncertainty.</w:t>
      </w:r>
    </w:p>
    <w:p>
      <w:pPr>
        <w:spacing w:after="0" w:line="32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July 7, 2022, the CAC has promulgated the Measures for the Security Assessment of Cross-border Data Transfer, which takes effect on September 1, 2022, and requires that any data processor providing important data collected and generated during operations within the territory of the PRC or personal information that should be subject to security assessment according to the relevant law to an overseas recipient shall conduct security assessment. The Measures for the Security Assessment of Cross-border Data Transfer provides four circumstances, under any of which data processors shall, through the local cyberspace administration at the provincial level, apply to the national cyberspace administration for security assessment of cross-border data transfer. These circumstances include: (i) where the important data are transferred to an overseas recipient; (ii) where the personal information is transferred to an overseas recipient by an operator of critical information infrastructure or a data processor that has processed personal information of more than one million people; (iii) where a data processor provides personal information to an overseas recipient if such data processor has already provided overseas the personal information of 100,000 people or sensitive personal information of 10,000 people since January 1 of the preceding year; or</w:t>
      </w:r>
    </w:p>
    <w:p>
      <w:pPr>
        <w:spacing w:after="0" w:line="4" w:lineRule="exact"/>
        <w:rPr>
          <w:sz w:val="20"/>
          <w:szCs w:val="20"/>
          <w:color w:val="auto"/>
        </w:rPr>
      </w:pPr>
    </w:p>
    <w:p>
      <w:pPr>
        <w:ind w:left="1260" w:right="439"/>
        <w:spacing w:after="0" w:line="258" w:lineRule="auto"/>
        <w:tabs>
          <w:tab w:leader="none" w:pos="15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under which security assessment of outbound data transfer is required as prescribed by the national cyberspace administration.</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July 6, 2021, the General Office of the CPC Central Committee, and the General Office of the State Council jointly promulgated the Opinions on Strictly Combatting Illegal Securities Activities in Accordance with the Law (the “6 July Opinion”), which called for the enhanced administration and supervision of overseas-listed China-based companies, proposed to revise the relevant regulation governing the overseas issuance and listing of shares by such companies and clarified the responsibilities of competent domestic industry regulators and government authorities. Furthermore, along with the promulgation of the 6 July Opinion, overseas-listed China-based companies are experiencing a heightened scrutiny over their compliance with laws and regulations regarding data security, cross-border data flow and management of confidential information from PRC regulatory authorities. Such laws and regulations are expected to undergo further changes, which may require increased information security responsibilities and stronger cross-border information management mechanism and process. As of the date of this prospectus, we have not received any inquiry, notice, warning, or sanctions regarding this offering from the CSRC or any other PRC government authorities in such respect.</w:t>
      </w:r>
    </w:p>
    <w:p>
      <w:pPr>
        <w:spacing w:after="0" w:line="32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issued the PRC Personal Information Protection Law (the “Personal Information Protection Law”), which became effective on November 1, 2021, and sets forth detailed rules on handling personal information and legal responsibilities, including but not limited to the scope of personal information and the ways of processing personal information, the establishment of rules for processing personal information, and the individual’s</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rights and the processor’s obligations in the processing of personal information. The Personal Information Protection Law also strengthens the punishment for those who illegally process personal information.</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Law of the PRC on the Protection of Minors (2020 Revision), which took effect on June 1, 2021, added a new section entitled “Online Protections,” which stipulates a series of provisions to further protect minors’ interests on the internet, and together with the Opinions of the General Office of the MCT on Strengthening the Protection of Minors in the Online Cultural Market, provide, among others, live streaming service providers are prohibited from providing minors under age 16 with online live streaming publisher account registration services, and that they must obtain the consent from the minors’ parents or guardians and verify the identity of the minors before allowing minors aged between 16 and 18 to register a live streaming publisher account, and online service providers for products and services such as video or audio live streaming and social networking are required to establish management systems to manage viewing time, and monitor access authority and consumption for minors. Furthermore, on October 16, 2023, the State Council published the Regulations on the Online Protection of Minors, pursuant to which, cyber service providers that provide minors with information release, instant messaging and other services shall require the minors or their guardians to provide the real identity information of the minors. If the minors or their guardians refuse to provide the real identity information of the minors, cyber service providers shall not provide relevant services for the minors.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May 25, 2018, Regulation 2016/679 of the European Parliament and of the Council on the protection of natural persons with regard to the processing of personal data and on the free movement of such data, otherwise known as the General Data Protection Regulation, or the GDPR, entered into force. The GDPR concerns the protection of personal data of natural persons with respect to its processing, imposing obligations on controllers and processors processing such personal data. The GDPR has a particularly wide scope of application, impacting any controller or processor with an establishment in the European Union, or the EU, and the European Economic Area, or the EEA, as well as controllers and processors outside the EU/EEA offering goods or services or monitoring the behavior of individuals in the EU/EEA. The obligations imposed on controllers and processors pursuant to the GDPR include that processing must be carried out on the basis of specified purposes and an applicable legal basis, implementing technical and organizational measures, providing transparent information on the processing activities to the individuals whose personal data is processed, facilitating these individuals’ rights as data subjects pursuant to the GDPR, ensuring that any outsourcing of personal data is held to an equivalent standard of data protection as provided by the GDPR, and to adhere to specific requirements for transmitting personal data to destinations outside the EU/EEA. Non-compliance with the GDPR may incur administrative penalties up to EUR 20,000,000 or 4% of the total worldwide annual turnover of the preceding financial year, whichever is higher. The Swedish Authority for Privacy Protection is the regulatory authority tasked with enforcing the GDPR within Swedish jurisdiction. On May 19 2022, the Swedish Electronic Communications Act, or the ECA, was updated in accordance with Directive 2018/1972 of the European Parliament and of the Council establishing the European Electronic Communications Code, a legislative update of the previously applicable EU directive and the implemented Swedish act. The ECA imposes, amongst other things, privacy-related obligations on organizations placing cookies, pixels and other similar files on websites. The ECA, in combination with the GDPR, thus impacts digital direct marketing to customers and/or presumptive customers, as digital direct marketing activities must be carried out in compliance with both the ECA and the GDPR, as well as the Swedish Marketing Act which contains general rules for marketing practices. The Swedish Post and Telecom Authority is the regulator for the ECA. Penalties for non-compliance with the relevant sections of the ECA may incur monetary fines, in addition to administrative sanctions pursuant to the GDPR.</w:t>
      </w: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M&amp;A and Overseas Listings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2006, six PRC regulatory agencies, including the CSRC, jointly adopted the Regulations on Mergers of Domestic Enterprises by Foreign Investors, or the M&amp;A Rules, amended in 2009. The M&amp;A Rules purport, among other things, to require an offshore special purpose vehicle controlled by PRC companies</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or individuals and formed for overseas listing purposes through acquisitions of PRC domestic interest held by such PRC companies or individuals, to obtain the approval from the CSRC prior to publicly listing their securities on an overseas stock exchange. In 2006, the CSRC published a notice on its official website specifying documents and materials required to be submitted to it by the offshore special purpose vehicle seeking CSRC approval of its overseas listing. If the CSRC or other PRC regulatory agencies subsequently determine that prior CSRC approval was required, we may face regulatory actions or other sanctions from the CSRC or other PRC regulatory agencies.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M&amp;A Rules also establish procedures and requirements that could make some acquisitions of PRC companies by foreign investors more time-consuming and complex, including requirements in some instances that the anti-monopoly law enforcement agency be notified in advance of any change-of-control transaction in which a foreign investor takes control of a PRC domestic enterprise. In addition, the Rules on Implementation of Security Review System for the Merger and Acquisition of Domestic Enterprises by Foreign Investors issued by the MOFCOM in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activities attempting to bypass such security review, including by structuring the transaction through a proxy or contractual control arrangement.</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several regulations regarding the management of filings for overseas offerings and listings by domestic companies, including the Trial Administrative Measures of Overseas Securities Offering and Listing by Domestic Companies together with 5 supporting guidelines (together with the Trial Measures, collectively referred to as the “New Regulations on Filing”). The New Regulations on Filing was formally implemented on March 31, 2023. Under New Regulations on Filing, a filing-based regulatory system has been applied to “indirect overseas offering and listing” of PRC domestic companies, which refers to such securities offering and listing in an overseas market made in the name of an offshore entity, but based on the underlying equity, assets, earnings or other similar rights of a domestic company which operates its main business domestically. According to the New Regulations on Filing, if the issuer meets the following conditions at the same time, its offering and listing shall be deemed as an “indirect overseas offering and listing by a domestic company”: (i) the revenues, total profits, total assets or net assets of the Chinese operating entities in the most recent financial year accounts and any index accounts for more than 50% of the corresponding data in the issuer’s audited consolidated financial statements for the same period; (ii) the main parts of business activities are conducted in PRC or its principal place of business is located in PRC, or the majority of senior management in charge of business operation are Chinese citizens or have domicile in PRC. In case of an overseas initial public offering or listing, it shall file with the CSRC within 3 working days after submitting the application documents for issuance and listing abroad. Domestic companies that have submitted a valid application for an overseas offering and listing but have not received consent from the overseas regulator or overseas stock exchange before implementation date of the New Regulations on Filing, the filing with CSRC shall be completed before the overseas offering and listing.</w:t>
      </w:r>
    </w:p>
    <w:p>
      <w:pPr>
        <w:spacing w:after="0" w:line="3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On February 24, 2023, four PRC regulatory agencies, including the CSRC, jointly promulgated the Provisions on Strengthening the Management of Confidentiality and Archives Related to the Overseas Issuance of Securities and Overseas Listing by Domestic Companies, or the Confidentiality and Archives Management Provisions relating to Overseas Listing, which has taken effect on March 31, 2023. In the overseas listing activities of domestic companies, as well as securities companies and securities service institutions providing relevant securities services hereof, should establish a sound system of confidentiality and archival work, shall not disclose state secrets, or harm the state and public interests.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Sweden does not currently have a foreign investment review regime in place. However, the Swedish Protective Security Act (2018:585), implemented on April 1, 2019, contains a specific regulation concerning the protection of infrastructure of potentially sensitive nature for security in Sweden. The Swedish Protective Security Act applies to all transfer of ownership and covers entities conducting security-sensitive activities. The Swedish Protective Security Act includes an explicit obligation on selling companies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examine if the transfer is suitable and thus assess and decide whether the business falls within the scope of the act. Entities falling within the scope of the act are required to proceed with a mandatory consultation process (i.e., filing).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Corporation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SCNPC on December 29, 1993, came into effect on July 1, 1994 and was last revised 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26, 2018. Under the PRC Company Law, companies are generally classified into two categories, i.e.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limited liability companies and companies limited by shares. Each a limited liability company or a company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limited by shares is an enterprise legal person, and liable for its debts with all its assets. PRC Company Law</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 also applicable to foreign-invested companies, except otherwise set out in any other regulations.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Anti-Monopoly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Anti-Monopoly Law of the PRC promulgated by the Standing Committee of the National People’s Congress, or the Anti-Monopoly Law, which became effective on August 1, 2008 and thereafter amended on June 24, 2022 and came into effective on August 1, 2022, prohibits undertakings from monopolistic conducts such as:</w:t>
      </w:r>
    </w:p>
    <w:p>
      <w:pPr>
        <w:spacing w:after="0" w:line="72" w:lineRule="exact"/>
        <w:rPr>
          <w:sz w:val="20"/>
          <w:szCs w:val="20"/>
          <w:color w:val="auto"/>
        </w:rPr>
      </w:pPr>
    </w:p>
    <w:p>
      <w:pPr>
        <w:ind w:left="1800" w:right="519" w:hanging="180"/>
        <w:spacing w:after="0" w:line="254"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monopolistic agreements, which means agreements or concerted practices to eliminate or restrict competition. For example, agreements for fixing or altering prices of goods, limiting the output or sales volume of goods, fixing the price of goods for resale to third parties, among others, unless such agreements satisfy the specific exemptions prescribed therein, such as improving technologies or increasing the efficiency and competitiveness of small and medium-sized undertakings. Sanctions against such violations include an order to cease the relevant activities, and confiscation of illegal gains and fines (from 1% to 10% of sales revenue in the preceding year, or a fine up to RMB500,000 if the intended monopolistic agreement has not been performed);</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of dominant market position. For example, selling goods at unfairly high prices or purchasing goods at unfairly low prices, selling goods at prices below cost or refusing to trade with a trading party without any justifiable cause. Sanctions for such violations include an order to cease the relevant activities, confiscation of the illegal gains and fines (from 1% to 10% of sales revenue in the preceding year); and</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undertakings which has or may have an effect of eliminating or restricting competition. Pursuant to the Anti-Monopoly Law and the Rules of the State Council on Declaration Threshold for Concentration of Undertakings as amended on September 18, 2018, require that the anti-monopoly agency (i.e., the State Administration for Market Regulation) shall be notified in advance of any concentration of undertaking if certain filing thresholds (i.e., during the previous fiscal year, (i) the total global turnover of all operators participating in the transaction exceeded RMB10 billion in the preceding fiscal year and at least two of these operators each had a turnover of more than RMB400 million within China in the preceding fiscal year, or (ii) the total turnover within China of all the operators participating in the concentration exceeded RMB2 billion in the preceding fiscal year, and at least two of these operators each had a turnover of more than RMB400 million within China in the preceding fiscal year) are triggered, and no concentration shall be implemented until the anti-monopoly enforcement agency clears the anti-monopoly filing.</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June 24, 2022, the Decision of the Standing Committee of the National People’s Congress to Amend the Anti-Monopoly Law of the People’s Republic of China, or the Decision to Amend the Anti-Monopoly Law, was adopted and became effective on August 1, 2022. The Decision to Amend the Anti-Monopoly Law strengthens the regulation on the internet platforms, requiring that undertakings shall not use data and algorithms, technologies, capital advantages, platform rules, and other means to engage in monopolistic conduct; and also escalates in full scale the administrative penalties for monopolistic conducts, for the failure to notify the anti-monopoly agencies on the proposed concentration of undertakings, the State Council Anti-Monopoly Enforcement Agency may order to reinstate the original status prior to the concentration and impose a fine up to ten percent of the operator’s last year’s sales revenue, provided that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concentration of undertakings has or may have an effect on excluding or limiting competition; if the concentration does not have the effect on excluding or limiting competition, a fine up to RMB5,000,000 may be imposed on operators. Since such provisions are relatively new, uncertain remains as to the interpretation and implementation of such laws and regulations.</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Pursuant to the Anti-unfair Competition Law of the People’s Republic of China which was promulgated by the Standing Committee of the National People’s Congress of China on September 2, 1993 and most recently amended on April 23, 2019, unfair competition refers to that in its production and operating activities, the operator disrupts the market competition order and damages the legitimate rights and interests of other operators or consumers in violation of the provisions of the Anti-unfair Competition Law. Pursuant to the Anti-unfair Competition Law, operators shall abide by the principle of voluntariness, equality, impartiality, integrity, and adhere to laws and business ethics during market transactions. Operators shall not conduct misleading behaviors which may confuse consumers to take their commodities as the commodities of others or lead consumers to believe that there is a connection between their commodities and other persons. Operators shall not conduct any false or misleading commercial publicity in respect of the performance, functions, quality, sales, user reviews, and honors received of its commodities, in order to defraud or mislead consumers. Operators shall not help other operators to conduct false or misleading commercial publicity by organizing false transactions. Operators shall not infringe on trade secrets. Operators shall not fabricate or disseminate false or misleading information or damage the business reputation of the competitors or their goods. Operators engaging in production or operating activities online shall also abide by the provisions of the Anti-unfair Competition Law. No operator may, by technical means to affect users’ options, among others, commit the acts of interfering with or sabotaging the normal operation of online products or services legally provided by another operator. Operators in violation of the Anti-unfair Competition Law shall bear corresponding civil, administrative or criminal responsibilities depending on the specific circumstances.</w:t>
      </w:r>
    </w:p>
    <w:p>
      <w:pPr>
        <w:spacing w:after="0" w:line="3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August 17, 2021, the SAMR issued a discussion draft of Provisions on the Prohibition of Unfair Competition on the Internet, under which business operators shall not use data or algorithms to hijack traffic or influence users’ choices, or use technical means to illegally capture or use other business operators’ data. Furthermore, business operators are not allowed to (i) fabricate or spread misleading information to damage the reputation of competitors, or (ii) make false or misleading commercial propaganda about the sales status, transaction information, business data, user evaluation, etc. in respect of the operators or their commodities, to deceive or mislead consumers or the relevant public. On November 22, 2022, the SAMR promulgated a draft of amendment to the Anti-unfair Competition Law for public consultations, which prohibits business operators to use data and algorithms, technologies, capital advantages, and platform rules to conduct unfair competitions.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4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Swedish Competition Act (2008:579) (Sw</w:t>
      </w:r>
      <w:r>
        <w:rPr>
          <w:rFonts w:ascii="Times New Roman" w:cs="Times New Roman" w:eastAsia="Times New Roman" w:hAnsi="Times New Roman"/>
          <w:sz w:val="18"/>
          <w:szCs w:val="18"/>
          <w:i w:val="1"/>
          <w:iCs w:val="1"/>
          <w:color w:val="auto"/>
        </w:rPr>
        <w:t>. Konkurrenslagen</w:t>
      </w:r>
      <w:r>
        <w:rPr>
          <w:rFonts w:ascii="Times New Roman" w:cs="Times New Roman" w:eastAsia="Times New Roman" w:hAnsi="Times New Roman"/>
          <w:sz w:val="18"/>
          <w:szCs w:val="18"/>
          <w:color w:val="auto"/>
        </w:rPr>
        <w:t>) is the legal framework prohibiting anticompetitive conduct through unlawful cooperation between undertakings and unlawful exploitation of market power by undertakings in a dominant position. Further, the Swedish Competition Act contains rules on the acquisition of undertakings as well as anticompetitive public sales activities. The Swedish Competition Act incorporates the substantive European competition rules into Swedish national law.</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Swedish Competition Authority (Sw. </w:t>
      </w:r>
      <w:r>
        <w:rPr>
          <w:rFonts w:ascii="Times New Roman" w:cs="Times New Roman" w:eastAsia="Times New Roman" w:hAnsi="Times New Roman"/>
          <w:sz w:val="18"/>
          <w:szCs w:val="18"/>
          <w:i w:val="1"/>
          <w:iCs w:val="1"/>
          <w:color w:val="auto"/>
        </w:rPr>
        <w:t>Konkurrensverket</w:t>
      </w:r>
      <w:r>
        <w:rPr>
          <w:rFonts w:ascii="Times New Roman" w:cs="Times New Roman" w:eastAsia="Times New Roman" w:hAnsi="Times New Roman"/>
          <w:sz w:val="18"/>
          <w:szCs w:val="18"/>
          <w:color w:val="auto"/>
        </w:rPr>
        <w:t>) applies Articles 101 and 102 of the Treaty on the Functioning of the European Union (Lisbon Treaty) in accordance with the Council Regulation (EC) No 1/2003 of 16 December 2002 on the implementation of the rules on competition laid down in Articles 81 and 82 of the Treaty, and subsequent amending acts. The current version of the Swedish Competition Act entered into force on November 1, 2008 and through this amendment the enforcement of the Swedish Competition Act became more effective and punitive damages became more deterrent. The Swedish Competition Act has subsequently been amended through several supplementary legislations, some of which have substantially extended the Swedish Competition Authority’s investigative powers.</w:t>
      </w:r>
    </w:p>
    <w:p>
      <w:pPr>
        <w:spacing w:after="0" w:line="11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Swedish Competition Act prohibits undertakings from several types of anticompetitive conduct, such as: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3"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cooperation, for example when undertakings cooperate to prevent, restrict or distort competition. Agreements which have as their object or effect to fix prices of goods, limit output or sales volume of goods or share markets are typical examples of prohibited cooperation. For such violations, sanctions include the nullification of the agreement in its entirety and a risk of fines up to 10% of the turnover from the previous year of each of the involved groups. Additionally, the EU regulators apply broader EU block exemption regulations which, provided certain conditions are met, automatically exempt specified types of agreements from the prohibition. Importantly, the European Commission adopted the new Vertical Block Exemption Regulation and Vertical Guidelines in 2022, which substantially helps undertakings assess the compatibility of supply and distribution agreements with competition rules;</w:t>
      </w:r>
    </w:p>
    <w:p>
      <w:pPr>
        <w:spacing w:after="0" w:line="86" w:lineRule="exact"/>
        <w:rPr>
          <w:rFonts w:ascii="Times New Roman" w:cs="Times New Roman" w:eastAsia="Times New Roman" w:hAnsi="Times New Roman"/>
          <w:sz w:val="18"/>
          <w:szCs w:val="18"/>
          <w:color w:val="auto"/>
        </w:rPr>
      </w:pPr>
    </w:p>
    <w:p>
      <w:pPr>
        <w:ind w:left="1800" w:right="699" w:hanging="180"/>
        <w:spacing w:after="0" w:line="257"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of a dominant market position, which may in particular consist of directly or indirectly imposing unfair purchase or selling prices or limiting production to the prejudice of consumers. Under EU and Swedish competition law, dominance alone is not prohibited, however the abuse of market power is. Sanctions for such violations include the nullification of the agreement in its entirety and a risk of fines up to 10% of each of the involved groups’ turnover from the previous year; and</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mergers that significantly impede effective competition in Sweden as a whole or in part of the country. This can be done in particular as a result of the creation or strengthening of a dominant position. The Swedish Competition Act contain turnover-based thresholds with regard to when an acquisition should be notified to the Swedish Competition Authority: (i) the combined aggregate turnover in Sweden of all the undertakings concerned in the preceding financial year exceeded SEK 1 billion, and (ii) at least two of the undertakings concerned had a turnover in Sweden the preceding financial year which exceeded SEK 200 million. If the turnover thresholds are met, parties are obliged to notify the transaction. The Competition Authority can under certain circumstances order a notification, even when there is no obligation to notify as the above thresholds are not met. The Swedish Competition Act does not contain any penalties directly tied to the failure to meet the mandatory notification obligation, however, the Competition Authority may order an acquiring undertaking to complete their notification under payment of a penalty.</w:t>
      </w:r>
    </w:p>
    <w:p>
      <w:pPr>
        <w:spacing w:after="0" w:line="109"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The Swedish Competition Act was amended in early 2021 as a result of Directive (EU) 2019/1, which aims to harmonize the investigative and sanctioning powers of the European Competition Authorities in their enforcement of the EU Competition Rules. Through the amendment the authority is, inter alia, empowered to impose fines if undertakings do not co-operate with an investigation and it can issue infringement decisions.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copyrights, trademarks, patents and domain names.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Copyright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Copyright Law of the PRC, adopted in 1990 and revised in 2001, 2010 and 2020 respectively, or the Copyright Law, and its implementing regulations adopted in 2002 and amended in 2011 and 2013, provide that Chinese citizens, legal persons, or other organizations will, whether published or not, enjoy copyright in their works, which include music works. Copyright will generally be conferred upon the authors, or in case of works made for hire, upon the employer of the author. Copyright holders enjoy personal and economic rights. The personal rights of a copyright holder include rights to publish works, right to be named as the author of works, right to amend the works and right to keep the works intact; while economic rights of a copyright holder include, but not limited to, reproduction right, distribution right, performance right, information network dissemination right, etc. In addition, the rights of performers with respect to their performance, rights of publishers with respect to their design of publications, rights of producers with respect to their video or audio productions, and rights of broadcasting or TV stations with respect to their broadcasting or TV programs are classified as copyright -related interest and protected by the Copyright Law. The copyright holders may license others to exercise or assign all or part of their economic rights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attached to their works. The license can be made on an exclusive or non- exclusive basis. With a few exceptions, an exclusive license or an assignment of copyright should be evidenced in a written contract. Pursuant to the Copyright Law and its implementing regulations, copyright infringers are subject to various civil liabilities, such as stopping infringing activities, issuing apologies to the copyright owners and compensating the copyright owners for damages resulting from such infringement. The damages should be calculated based on the actual loss suffered by the copyrights owner or the illegal income made by the infringer.</w:t>
      </w:r>
    </w:p>
    <w:p>
      <w:pPr>
        <w:spacing w:after="0" w:line="297" w:lineRule="exact"/>
        <w:rPr>
          <w:sz w:val="20"/>
          <w:szCs w:val="20"/>
          <w:color w:val="auto"/>
        </w:rPr>
      </w:pPr>
    </w:p>
    <w:p>
      <w:pPr>
        <w:ind w:left="1260" w:right="439" w:firstLine="360"/>
        <w:spacing w:after="0" w:line="231" w:lineRule="auto"/>
        <w:rPr>
          <w:sz w:val="20"/>
          <w:szCs w:val="20"/>
          <w:color w:val="auto"/>
        </w:rPr>
      </w:pPr>
      <w:r>
        <w:rPr>
          <w:rFonts w:ascii="Times New Roman" w:cs="Times New Roman" w:eastAsia="Times New Roman" w:hAnsi="Times New Roman"/>
          <w:sz w:val="18"/>
          <w:szCs w:val="18"/>
          <w:color w:val="auto"/>
        </w:rPr>
        <w:t>On May 18, 2006, the State Council promulgated the Regulations on the Protection of the Right to Network Dissemination of Information, as amended on January 30, 2013. Under these regulations, an owner of the network dissemination rights with respect to written works or audio or video recordings who believes that information storage, search or link services provided by an internet service provider infringe his or her rights may require that the internet service provider delete, or disconnect the links to, such works or recordings. The internet service provider who provides information storage space to recipients of its services to facilitate the provision by such recipient of works, performances and audio -video content to the public shall not be held liable for losses caused by any alleged infringement, provided that such internet service provider has deleted relevant works, performances and audio-video content after receiving a notice from the purported right holder, and the satisfaction of certain other conditions, including that (i) such internet service provider has specifically indicated that such information storage space is provided for the recipients of its services and the name, contact person information and network address of the of the network service provider have been made public; (ii) the works, performances and audio-video content provided by the recipients are not altered; (iii) the internet service provider is not aware and has no reason to be aware that the works, performances and audio-video content provided by recipients of its services are infringing; and (iv) the internet service provider does not derive economic benefits directly from the works, performances and audio-video content provided by the recipients of its services.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3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Swedish Copyright Act (1960:729), adopted on December 30, 1960, last revised on January 1, 2023, applies to literary or artistic works, including fictional or descriptive presentation in writing or speech, computer program, musical or scenic work, film works, photographic works or any other work of visual art, articles of construction art of applied art, or works that have been expressed in some other way, as well as maps and other descriptive works in drawing, graphics, or in plastic form. Insofar as computer programs are governed by the Swedish Copyright Act, it also applies to preparatory design material for computer programs. The creator or copyright -holder of any such work enjoys economic and moral rights to created works. Under the Swedish Copyright Act, copyright entails the exclusive right to dispose of the work by creating copies and by making it available to the public, in its original or altered state, in translation or adaption, in another literary or artistic form or in other technology. The Swedish Copyright Act applies e.g., to works created by Swedish citizens or by a person with a usual place of residence in Sweden, to works that were first published in Sweden or simultaneously in Sweden and abroad and film works whose producer has his registered office or his usual place of residence in Sweden. The copyright holders may license others to exercise or assign all or part of their economic rights attached to their works, whereas moral rights have to be addressed by, e.g., attribution of the copyright-holder. The license can be made on an exclusive or non-exclusive basis. With a few exceptions, an exclusive license or an assignment of copyright should be evidenced in a written contract. Pursuant to the Swedish Copyright Act, infringers of copyright are subject to various civil liabilities, such as ceasing infringing activities, indemnifying the copyright owners for damages resulting from infringement, and in the most extreme cases, criminal penalties including monetary fines or even imprisonment. The Swedish Copyright Act also include rules on collective license, which may be viewed as a relatively unique type of licensing. The collective license is a form of license concluded between a user of a copyright-protected work and an organization that represents a number of Swedish copyright -holders. A collective license gives the user the right to use works of the type which any particular collective license refers to, even though the copyright-holders of the works are not represented by the particular collective license organization.</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Trademark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According to the Trademark Law of the PRC, adopted in 1982 and latest amended in 2019, as well as the Implementation Regulation of the Trademark Law of the PRC adopted by the State Council in 2002</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and subsequently amended in 2014, registered trademarks are granted a term of ten years which may be renewed for consecutive ten-year periods upon request by the trademark owner. Trademark license agreements shall be filed with the Trademark Office for record. Conducts that shall constitute an infringement of the exclusive right to use a registered trademark include but not limited to: using a trademark that is identical with or similar to a registered trademark on the same or similar goods without the permission of the trademark registrant, selling goods that violate the exclusive right to use a registered trademark, etc. Pursuant to the Trademark Law of the PRC, in the event of any of the foregoing acts, the infringing party will be ordered to stop the infringement immediately and may be fined; the counterfeit goods will be confiscated. The infringing party may also be held liable for the right holder’s damages, which will be equal to gains obtained by the infringing party or the losses suffered by the right holder as a result of the infringement, including reasonable expenses incurred by the right holder for stopping the infringement.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According to the Swedish Trademark Act (2010:1877), registered trademarks are granted a term of ten years which may be renewed for consecutive ten years periods by the trademark owner. A trademark license agreement may, upon request, be filed with the Swedish Intellectual Property Office for record-keeping. Conducts that shall constitute an infringement of the exclusive right to use a registered trademark include, but are not limited to, using a trademark that is identical with or similar to a registered trademark on the same or similar goods without the permission of the trademark registrant and selling goods that violate the exclusive right to use a registered trademark. An infringing party may be ordered to cease the infringement immediately at the risk of a fine and any counterfeit goods may be confiscated. The infringing party may also be held liable for the right holder’s damages and may also be held criminally liable.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Domain Name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China, the administration of PRC internet domain names is mainly regulated by the MIIT, under supervision of the China Internet Network Information Center, or CNNIC. On August 24, 2017, the MIIT promulgated the Measures on Administration of Internet Domain Names, which became effective as of November 1, 2017 and replaced the Measures on Administration of Domain Names for the Chinese Internet issued by the MII on November 5, 2004, which adopt “first to file” rule to allocate domain names to applicants, and provide that the MIIT shall supervise the domain names services nationwide and publicize PRC’s domain name system. On June 18, 2019, the CNNIC issued a circular to authorize a domain name dispute resolution institution acknowledged by the CNNIC to decide relevant disputes. On January 1, 2018, the Circular of the Ministry of Industry and Information Technology on Regulating the Use of Domain Names in Providing Internet-based Information Services issued by the MIIT became effective, which stipulates that an internet access service provider shall, pursuant to requirements stated in the Anti-Terrorism Law of the PRC and the Cybersecurity Law of the PRC, verify the identities of internet-based information service providers, and the internet access service providers shall not provide access services for those who fail to provide their real identity information.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In Sweden, the administration of Swedish internet domain names is regulated by the Swedish Act on National Top-level Domains (2006:24) under the regulatory oversight of Swedish Post and Telecom Authority. The regulatory activities are primarily focused on the single Swedish domain name administrator, the Swedish Internet Foundation, the organization responsible for the Swedish top-level domains (.se) and (.nu).</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Employment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Labor Law of the PRC which was promulgated by the Standing Committee of the National People’s Congress on July 5, 1994, effective since January 1, 1995, and were further amended on August 27,</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2009 and December 29, 2018, the Labor Contract Law of the PRC which was promulgated by the Standing Committee of the National People’s Congress on June 29, 2007 and amended on December 28, 2012, and the Implementing Regulations of the Labor Contract Law of the PRC which was promulgated by the State Council on September 18, 2008, are the principal regulations that govern employment and labor matters in the PRC. Under the above regulations, labor relationships between employers and employees must be executed in written form, and wages shall not be lower than local standards on minimum wages and shall be paid to employees timely. In addition, employers must establish a system for labor safety and sanitation, strictly abide by state standards and provide relevant training to its employees. Employers are also prohibited from forcing employees to work above certain time limit and employers shall pay employees for overtime work in accordance with national regulations.</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According to the Social Insurance Law of the PRC promulgated by the Standing Committee of the National People’s Congress on October 28, 2010, effective since July 1, 2011 and amended on December 29, 2018, together with other relevant laws and regulations, the PRC establishes a social insurance system including basic pension insurance, basic medical insurance, occupational injury insurance, unemployment insurance and maternity insurance. Any employer shall register with the local social insurance agency within 30 days after its establishment and shall register for the employee with the local social insurance agency within 30 days after the date of hiring. An employer shall declare and make social insurance contributions in full and on time. The occupational injury insurance and maternity insurance shall only be paid by employers while the contributions of basic pension insurance, medical insurance, and unemployment insurance shall be paid by both employers and employees.</w:t>
      </w:r>
    </w:p>
    <w:p>
      <w:pPr>
        <w:spacing w:after="0" w:line="11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According to the Regulation on the Administration of Housing Fund promulgated by the State Council on April 3, 1999 and amended in 2002 and 2019 respectively, employers are required to register at the designated administrative centers, open bank accounts for depositing employees’ housing fund and make housing fund contributions for employees in the PRC. Employer who fails to make housing fund contributions may be ordered to rectify the noncompliance and pay the required contributions within a stipulated deadline.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Sweden, a distinction is made between employees and consultants. In order to determine whether a contractual relationship constitutes an employment relationship or whether the individual performing the services is an independent consultant, certain factors are normally considered when making an overall assessment of the relationship. This assessment is normally made upon a claim by the individual providing the services that he/she is a so called de facto employee. Factors that could indicate that an employment relationship is at hand — even if the agreement between the individual performing the services and the company receiving them is labelled as consultancy agreement — include e.g., whether the individual is on equal terms with employees from an economic and social point of view, if compensation for the services is paid in form of a guaranteed fixed remuneration, if there is any entitlement to paid leave, if the individual must carry out the job themselves, if the individual may perform work for other parties, if the individual is subject to specific instructions and close supervision of the company, if the individual is reimbursed for direct expenses, etc. The same factors can be used by the Swedish Tax Agency to reclassify a consultancy relationship into an employment relationship. From a Swedish employment law perspective, if an individual is deemed to be an employee rather than a consultant, the various provisions set forth in e.g., the Swedish Employment Protection Act, apply to the employment relationship, which could entail that the individual could be entitled to employment protection. An employee would also be entitled to vacation pay of 12% on the remuneration paid. From a Swedish tax law perspective, if an individual is deemed to be an employee rather than a consultant, the company retaining the services is required to report and pay social security contributions of 31.42% on the gross remuneration paid, and to withhold income tax on the payments, and Input VAT on the invoiced amounts are not deductible. In the event that the relationship between the individual performing the services and the company is that of an employment relationship (but that the parties have in practice treated it as a consultancy relationship), the company is exposed to tax penalties of 20% on omitted social security contributions and non-deductible input VAT, and of 5% on the amount of withholding tax. The gross remuneration paid to the individual and the social security contributions are however deductible for income tax purposes. Any reclassified payments give rise to a progressive individual tax for the worker and possible tax surcharges at 40% of the additional tax levied.</w:t>
      </w: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Enterprise Income Tax</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On March 16, 2007, the National People’s Congress promulgated the PRC Enterprise Income Tax Law which was amended on February 24, 2017 and December 29, 2018; and on December 6, 2007, the State Council enacted the Implementation Regulations for the Enterprise Income Tax Law of the PRC (the “PRC EIT Law”), which was amended on April 23, 2019, or collectively, the PRC EIT Law. Under the PRC EIT Law, both resident enterprises and non-resident enterprises are subject to tax in the PRC. Resident enterprises are defined as enterprises that are established in China in accordance with PRC laws, or that are established in accordance with the laws of foreign countries or regions but the actual management institutions are in the PRC. Non-resident enterprises are defined as enterprises that are organized under the laws of foreign countries or regions and whose actual management institutions are outside the PRC, but have established institutions or premises in the PRC, or have no such established institutions or premises but have income generated from the PRC. The Circular Regarding the Determination of Chinese-Controlled Offshore Incorporated Enterprises as PRC Tax Resident Enterprises on the Basis of De Facto Management Bodies promulgated by State Administration of Taxation (“SAT”) and latest amended in 2017 (the “Circular 82”) also provides certain specific criteria for determining whether the “de facto management body” of a PRC-controlled enterprise that is incorporated offshore is located in China. According to Circular 82, a Chinese- controlled offshore incorporated enterprise will be regarded as a PRC tax resident by virtue of having a “de facto management body” in China and will be subject to PRC EIT on its worldwide income only if all of the following criteria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shareholders meeting minutes are located or maintained in the PRC; and (4) 50% or more of voting board members or senior executives habitually reside in the PRC. Under the PRC EIT Law and relevant implementing regulations, a uniform enterprise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the PRC. Pursuant to the PRC EIT Law, the EIT tax rate of a qualified high and new technology enterprise, or HNTE, is 15%.</w:t>
      </w:r>
    </w:p>
    <w:p>
      <w:pPr>
        <w:spacing w:after="0" w:line="347"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Announcement of the State Administration of Taxation on Several Issues Relating to Enterprise Income Tax on Transfer of Assets between Non-resident Enterprises (the “Bulletin 7”) was issued by the SAT on February 3, 2015, and latest amended on December 29, 2017. Pursuant to Bulletin 7,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EIT. As a result, gains derived from an indirect transfer may be subject to PRC EIT. According to Bulletin 7, “PRC taxable assets” include assets attributed to an establishment or a place of business in China, immovable properties in China, and equity investments in PRC resident enterprises. In respect of an indirect offshore transfer of assets of a PRC establishment or place of business, the relevant gain is to be regarded as effectively connected with the PRC establishment or a place of business and therefore included in its EIT filing, and would consequently be subject to PRC EIT at a rate of 25%. Where the underlying transfer relates to the immovable properties in China or to equity investments in a PRC resident enterprise, which is not effectively connected to a PRC establishment or a place of business of a non-resident enterprise, a PRC EIT at 10% would apply, subject to available preferential tax treatment under applicable tax treaties or similar arrangements, and the party who is obligated to make the transfer payments has the withholding obligation. There is uncertainty as to the implementation details of Bulletin 7.</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Value-added Tax</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Provisional Regulations on Value-added Tax of the PRC were promulgated by the State Council on December 13, 1993 and came into effect on January 1, 1994 which were last amended on November 19,</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2017. The Detailed Rules for the Implementation of Provisional Regulations on Value-added Tax of the PRC were promulgated by the Ministry of Finance on December 25, 1993 and subsequently amended on December 15, 2008 and October 28, 2011, or collectively, VAT Law. On November 19, 2017, the State Council promulgated the Order on Abolishing the Provisional Regulations of the PRC on Business Tax and Amending the Provisional Regulations on Value-added Tax of the PRC, or Order 691. According to the VAT Law and Order 691, all enterprises and individuals engaged in the sale of goods, processing, repair and replacement services, sales of services, intangible assets, real property and the importation of goods within the territory of the PRC are the taxpayers of VAT. The VAT rates generally applicable are simplified as 17%, 11% and 6%, and the VAT rate applicable to the small-scale taxpayers is 3%.</w:t>
      </w:r>
    </w:p>
    <w:p>
      <w:pPr>
        <w:spacing w:after="0" w:line="11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On April 4, 2018, the Ministry of Finance and the State Administration of Taxation jointly issued the Notice on Adjustment of VAT Rates, which came into effect on May 1, 2018. According to the abovementioned notice, the taxable goods previously subject to VAT rates of 17% and 11% respectively become subject to lower VAT rates of 16% and 10% respectively. On March 20, 2019, the Ministry of Finance, the State Administration of Taxation and the General Administration of Customs issued the Announcement on Relevant Policies on Deepen the Reform of Value-added Tax, pursuant to which that the taxable goods previously subject to VAT rates of 16% and 10% respectively become subject to lower VAT rates of 13% and 9% respectively, effective from April 1, 2019.</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Withholding Tax</w:t>
      </w:r>
    </w:p>
    <w:p>
      <w:pPr>
        <w:spacing w:after="0" w:line="14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PRC EIT Law provides that since January 1, 2008, an enterprise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Incomes,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SAT Circular 81, issued on February 20, 2009 by the State Administration of Taxation if the relevant PRC tax authorities determine, at their discretion, that a company benefits from such reduced income tax rate due to a structure or arrangement that is primarily tax-driven, such PRC tax authorities may adjust the preferential tax treatment. According to the Circular on Several Issues regarding the “Beneficial Owner” in Tax Treaties, which was issued on February 3, 2018 by the SAT, effective as of April 1, 2018, when determining the applicant’s status of the “beneficial owner” regarding tax treatments in connection with dividends, interests or royalties in the tax treaties, several factors, including without limitation, whether the applicant is obligated to pay more than 50% of its income in twelve months to residents in third country or region, whether the business operated by the applicant constitutes actual business activities, and whether the counterparty country or region to the tax treaties does not levy any tax or grant tax exemption on relevant incomes or levy tax at an extremely low rate, will be taken into account, and such factors will be analyzed according to the actual circumstances of the specific cases. This circular further provides that applicants who intend to prove his or her status of the “beneficial owner” shall submit the relevant documents to the relevant tax bureau according to the Announcement on Issuing the Measures for the Administration of Non-Resident Taxpayers’ Enjoyment of Treaty Benefits.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Swedish Corporate Taxation</w:t>
      </w:r>
    </w:p>
    <w:p>
      <w:pPr>
        <w:spacing w:after="0" w:line="148" w:lineRule="exact"/>
        <w:rPr>
          <w:sz w:val="20"/>
          <w:szCs w:val="20"/>
          <w:color w:val="auto"/>
        </w:rPr>
      </w:pPr>
    </w:p>
    <w:p>
      <w:pPr>
        <w:ind w:left="1260" w:right="659" w:firstLine="360"/>
        <w:spacing w:after="0" w:line="275" w:lineRule="auto"/>
        <w:rPr>
          <w:sz w:val="20"/>
          <w:szCs w:val="20"/>
          <w:color w:val="auto"/>
        </w:rPr>
      </w:pPr>
      <w:r>
        <w:rPr>
          <w:rFonts w:ascii="Times New Roman" w:cs="Times New Roman" w:eastAsia="Times New Roman" w:hAnsi="Times New Roman"/>
          <w:sz w:val="18"/>
          <w:szCs w:val="18"/>
          <w:color w:val="auto"/>
        </w:rPr>
        <w:t>The Swedish Income Tax Act (1999:1229) (“ITA”) entered into effect January 1, 2000. It is the main legal act that governs the Swedish taxation of all companies, both resident and non-resident for tax purposes.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Apart from this law, Swedish taxation is also affected by the Value Added Tax Act (1994:200), the Tax Procedures Act (2011:1244) and several other tax acts. Swedish companies are generally taxed on their global corporate income, currently at 20.6%. In order to remedy double taxation situations, Sweden has entered into double tax treaties with 85 countries, among them the full scope double tax treaties with the US and the PRC, whereas only a limited double tax treaty has been entered into with the Cayman Islands. The majority of the double tax treaties utilize the credit method to avoid double taxation, including the treaties with the US and the PRC. Non-resident companies are generally not tax liable in Sweden except for income derived from a permanent establishment, income from real estate in Sweden and Swedish sourced dividend or royalty income, as further described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Swedish Withholding Tax Aspects</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Times New Roman" w:cs="Times New Roman" w:eastAsia="Times New Roman" w:hAnsi="Times New Roman"/>
          <w:sz w:val="18"/>
          <w:szCs w:val="18"/>
          <w:color w:val="auto"/>
        </w:rPr>
        <w:t>For non-resident corporate shareholders, a tax of 30% is withheld at source on dividends distributed by a Swedish company unless any reduced rate or exemption applies under local law or the applicable double tax treaty. In respect of dividend distributions from a Swedish company to a company tax resident in the Cayman Islands, the flat rate of 30% should apply as there currently should be no available exemption or reduced rate.</w:t>
      </w:r>
    </w:p>
    <w:p>
      <w:pPr>
        <w:spacing w:after="0" w:line="331"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In addition, Sweden does not levy withholding taxes on interest nor on royalty income. However, a foreign recipient of Swedish-source royalties is generally deemed to have a Swedish permanent establishment for tax purposes, and is thus subject to Swedish income tax on the royalties received, unless any exemption applies under an applicable double tax treaty.</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tax relief</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Should foreign sourced income of a Swedish company be subject to foreign taxation, a foreign tax credit is generally available, provided certain conditions are fulfilled. For example, the foreign taxes must be finally assessed or withheld before it can be credited against Swedish taxes. The tax credit allowed for a Swedish company is limited to the amount corresponding to the Swedish tax on the foreign income. Further, any unutilized foreign tax credits may be carried forward for five years.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deduction limitation rules</w:t>
      </w:r>
    </w:p>
    <w:p>
      <w:pPr>
        <w:spacing w:after="0" w:line="162"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In general, a Swedish company is entitled to deduct interest on ordinary business debt, however, certain restriction rules apply to interest under the general interest deduction limitation rules, as well as under the intra-group deduction limitation rules.</w:t>
      </w:r>
    </w:p>
    <w:p>
      <w:pPr>
        <w:spacing w:after="0" w:line="115"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Under the intra-group deduction limitation rules, any interest expenses recorded on debt to a group company is deductible if the beneficial owner of the interest income within the group is domiciled within the EEA, or in a country with which Sweden has concluded a full scope double tax treaty, or if the beneficial owner of the interest income is subject to a corporate tax of at least 10%. However, no tax deduction should be granted if the underlying purpose of the loan is, exclusively or as good as exclusively, to obtain a substantial tax benefit. Companies are considered to form a group if a company has decisive influence over the other, directly or indirectly, or if the companies are under joint control.</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As of January 1, 2019, there is also a general limitation of interest deduction rule under which interest deductions are capped at 30% of earnings before interest, taxes, depreciation, and amortization (EBITDA). Alternatively, without applying the EBITDA rule, a negative net interest income may be deducted up to a maximum of SEK 5 million on a group level. Negative net interest that cannot be deducted in one year may be carried forward for up to six years, but could be forfeited in the event of a change in ownership.</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of January 1, 2021, interest expenses recorded on debt to a company within a jurisdiction which is placed on the European Union list of non-cooperative jurisdictions are generally non-deductible. The prohibition applies to interest payments on loans between affiliated parties as well as third party debts. As of the list adopted by the European Council of the European Union on October 4, 2022, neither Sweden, the U.S., China nor the Cayman Islands are included in the list of non-cooperative jurisdictions.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Anti-hybrid rules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Sweden has implemented anti- hybrid rules via the ITA. Apart from the above described interest deduction restrictions, there is also an interest deduction prohibition in respect of hybrid mismatches. This prohibition applies when the recipient does not recognize the corresponding income for taxation due to a different legal classification of the income in two jurisdictions. Hybrid situations involving permanent establishments, hybrid transactions, imported mismatches, and mismatches due to double resident entities are also covered by the current anti-hybrid rules. Certain hybrid situations regarding dividends are also covered. In addition, extended hybrid mismatch rules covering certain transparent companies (so-called reverse hybrid mismatches) have recently entered into force.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Social security contributions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Swedish corporate employers pay Swedish employer social security contributions on compensation paid to employees who are covered by the Swedish social security system. Social security contributions are normally levied at 31.42% of the total taxable remuneration (no cap) paid by a Swedish employer.</w:t>
      </w:r>
    </w:p>
    <w:p>
      <w:pPr>
        <w:spacing w:after="0" w:line="10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Contracting subcontractors which have not been granted F-tax could, in general, cause a liability to make preliminary tax deductions and pay social security contributions in Sweden on the remuneration paid to the subcontractor. If the subcontractor has a valid F-tax registration, the risk only applies if there is an obvious employment relationship between the principal and the subcontractor. If a consultant agreement is deemed as an employment relationship, the principal risks are having to pay social security contributions of 31.42% on the paid remuneration, as well as penalties amounting to a maximum of 20% of the unpaid contributions.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Swedish Value-added Tax</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Swedish value added tax (“VAT”) is payable on goods and services at a rate of 25%. A reduced rate of</w:t>
      </w:r>
    </w:p>
    <w:p>
      <w:pPr>
        <w:spacing w:after="0" w:line="16" w:lineRule="exact"/>
        <w:rPr>
          <w:sz w:val="20"/>
          <w:szCs w:val="20"/>
          <w:color w:val="auto"/>
        </w:rPr>
      </w:pPr>
    </w:p>
    <w:p>
      <w:pPr>
        <w:jc w:val="both"/>
        <w:ind w:left="1260" w:right="519"/>
        <w:spacing w:after="0" w:line="246" w:lineRule="auto"/>
        <w:rPr>
          <w:sz w:val="20"/>
          <w:szCs w:val="20"/>
          <w:color w:val="auto"/>
        </w:rPr>
      </w:pPr>
      <w:r>
        <w:rPr>
          <w:rFonts w:ascii="Times New Roman" w:cs="Times New Roman" w:eastAsia="Times New Roman" w:hAnsi="Times New Roman"/>
          <w:sz w:val="18"/>
          <w:szCs w:val="18"/>
          <w:color w:val="auto"/>
        </w:rPr>
        <w:t>12% applies to food, catering and restaurant services and “tourism” (hotel​ accommodation). A reduced rate of 6% applies to newspapers, domestic personal transport and cinema tickets. Exports are zero rated, as are drugs and medical services, among others.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Swedish Transfer pricing documentation</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 Swedish company with economic relationship with a non-resident company is required to prepare transfer pricing documentation; a Local File and Master File according to The Organization for Economic Co-operation and Development, or the OECD, Transfer Pricing Guidelines, in accordance with the Swedish Tax Procedures Act. Under the arm’s length rule, closely related companies should act as if they were independent companies when pricing transactions between them. As such, the Swedish rule requires all cross border transactions between related companies to be priced at arm’s length. Small and medium enterprises (where the whole group has less than 250 employees and has a turnover of a maximum of SEK 450 million or maximum total assets of SEK 400 million) are exempt from the requirement to prepare transfer pricing documentation in Sweden.</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Rules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core regulations governing foreign currency exchange in China are the Foreign Exchange Administration Regulations of the PRC, promulgated by the State Council in 1996 and most recently amended in August 2008, or the Foreign Exchange Regulations. Under the Foreign Exchange Regulations, payments of current account items, such as profit distributions and trade and service-related foreign exchange transactions, can be made in foreign currencies without prior approval from SAFE by complying with certain procedural requirements. By contrast, the conversion of Renminbi into other currencies and remittance of the converted foreign currency outside the PRC to pay capital expenses such as the repayment of foreign currency denominated loans, or if foreign currency is to be remitted into China under the</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capital account such as a capital increase or foreign currency loans to our PRC subsidiaries, prior approval from or registration with appropriate regulatory authorities is required.</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the Circular of Further Improving and Adjusting Foreign Exchange Administration Policies on Foreign Direct Investment, or SAFE Circular 59 promulgated by SAFE on November 19, 2012, which became effective on December 17, 2012, and were further amended on May 4, 2015, October 10, 2018 and December 30, 2019, the opening of various special purpose foreign exchange accounts, such as pre-establishment expenses accounts, foreign exchange capital accounts and guarantee accounts, the reinvestment of Renminbi proceeds by foreign investors in the PRC, and remittance of foreign exchange profits and dividends by a foreign invested enterprise to its foreign shareholders no longer require the approval or verification of SAFE.</w:t>
      </w:r>
    </w:p>
    <w:p>
      <w:pPr>
        <w:spacing w:after="0" w:line="32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 February 2015, SAFE promulgated the Circular of Further Simplifying and Improving the Policies of Foreign Exchange Administration Applicable to Direct Investment, or SAFE Circular 13, which became effective on June 1, 2015 and was partially repealed on December 30, 2019. SAFE Circular 13 cancels the administrative approval requirements of foreign exchange registration of foreign direct investment and overseas direct investment, and simplifies the procedure of foreign exchange-related registration, and foreign exchange registrations of foreign direct investment and overseas direct investment will be handled by the qualified banks and their branches instead of SAFE and its branches.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Circular on the Reforming the Administration of Foreign Exchange Settlement of Capital of Foreign-invested Enterprises, or SAFE Circular 19 which was issued by SAFE on March 30, 2015, effective from June 1, 2015, partially repealed on December 30, 2019, and latest amended on March 23, 2023, allows foreign-invested enterprises, within the scope of business, to settle their foreign exchange capital on a discretionary basis according to the actual needs of their business operation and provides the procedures for foreign-invested enterprises to use Renminbi converted from foreign currency-denominated capital for equity investment.</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January 2017, SAFE promulgated the Circular on Further Improving Reform of Foreign Exchange Administration and Optimizing Genuineness and Compliance Verification, or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of tax filing records and audited financial statements; and (ii) domestic entities shall hold income to account for previous years’ losses before remitting the profits. Further, according to SAFE Circular 3, domestic entities shall make detailed explanations of the sources and utilization arrangements of capital, and provide board resolutions, contracts and other proof when applying for the registration in connection with an outbound investment and outbound remittance of capitals.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Offshore Investment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Circular of SAFE on Issues Concerning the Foreign Exchange Administration over the Overseas Investment and Financing and Round-trip Investment by Domestic Residents via Special Purpose Vehicles, or SAFE Circular 37, which became effective on July 4, 2014, regulates foreign exchange matters in relation to the use of special purpose vehicles, or SPVs, by PRC residents or entities to seek offshore investment and financing or conduct round trip investment in China. Under the Circular 37, an SPV refers to offshore enterprises directly established or indirectly controlled by PRC residents for the purpose of seeking offshore equity financing or making offshore investment, using legitimate domestic or offshore assets or interests, while “round trip investment” refers to the direct investment in China by PRC residents or entities through SPVs, namely, establishing foreign invested enterprises to obtain the ownership, control rights and management rights. SAFE Circular 37 requires that, before making contribution into an SPV, PRC residents or entities are required to register with the local SAFE branch.</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Stock Incentive Plan</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SAFE issued the Circular on Issues Concerning the Administration of Foreign Exchange Used for Domestic Individuals’ Participation in Equity Incentive Plans of Overseas Listed Companies, or SAFE Circular 7 in 2012. Pursuant to SAFE Circular 7, employees, directors, supervisors, and other senior officers who participate in any equity incentive plan of publicly-listed overseas companies and who are PRC</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citizens or non-PRC citizens residing in China for a consecutive period of no less than one year, subject to a few exceptions, are required to register with SAFE or its local branches through a domestic qualified agent, which could be a PRC subsidiary of such overseas listed companies, and complete other procedures with respect to the equity incentive plan. In addition, the PRC agent is required to amend SAFE registration with respect to the equity incentive plan if there is any material change to the equity incentive plan, the PRC agent or other material changes. The PRC agent must, on behalf of these individuals who have the right to exercise the employee share options, apply to SAFE or its local branches for an annual quota for the payment of foreign currencies in connection with these individuals’ exercise of the employee share options. Such individuals’ foreign exchange income received from the sale of stocks and dividends distributed by the overseas listed company and any other income shall be fully remitted into a collective foreign currency account in China opened and managed by the PRC subsidiaries of the overseas listed company or the PRC agent before distribution to such individuals.</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notices concerning employee share options and restricted shares. Under these notices, employees working in China who exercise share options or are granted restricted shares will be subject to PRC individual income tax. PRC subsidiaries are required to file documents related to employee share options or restricted shares with relevant tax authorities and to withhold individual income taxes of employees who exercise their share options or purchase restricted shares. If the employees fail to pay or the PRC subsidiaries fail to withhold their income taxes in accordance with relevant laws and regulations, the PRC subsidiaries may face sanctions imposed by the tax authorities or other PRC regulatory authorities.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Loans by Foreign Companies to their PRC Subsidiaries</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Loans made by foreign investors as shareholders in foreign invested enterprises established in China are considered to be foreign debts and are mainly regulated by the Regulation of the People’s Republic of China on Foreign Exchange Administration, the Interim Provisions on the Management of Foreign Debts, the Statistical Monitoring of Foreign Debts Tentative Provisions, and the Administrative Measures for Registration of Foreign Debts. Pursuant to these regulations and rules, a shareholder loan in the form of foreign debt made to a PRC entity does not require the prior approval of SAFE, but such foreign debt must be registered with and recorded by SAFE or its local branches within 15 days after such foreign debt contract has been entered into. Under these regulations and rules, the balance of the foreign debts of a foreign invested enterprise shall not exceed the difference between the total investment and the registered capital of the foreign invested enterprise, or the Total Investment and Registered Capital Balance.</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Notice of the People’s Bank of China on Matters concerning the Macro-Prudential Management of Full-Covered Cross-Border Financing, or PBOC Notice No. 9, issued by the PBOC on January 12, 2017, provides that within a transition period of one year from January 12, 2017, the foreign invested enterprises may adopt the currently valid foreign debt management mechanism, or the Current Foreign Debt Mechanism, or the mechanism as provided in PBOC Notice No. 9, or the Notice No. 9 Foreign Debt Mechanism, at their own discretion. PBOC Notice No. 9 provides that enterprises may conduct independent cross-border financing in RMB or foreign currencies as required. According to the PBOC Notice No. 9, the outstanding cross-border financing of an enterprise (the outstanding balance drawn, here and below) shall be calculated using a risk-weighted approach, or the Risk-Weighted Approach, and shall not exceed the specified upper limit, namely: risk-weighted outstanding cross border financing = the upper limit of risk-weighted outstanding cross-border financing. The upper limit of risk-weighted outstanding cross-border financing of an enterprise = its net assets × the leverage rate of cross-border financing × the macro-prudential adjustment parameter, among which the leverage rate of cross-border financing of an enterprise shall be 2 for enterprises and the macroprudential adjustment parameter shall be 1. Therefore, as of the date hereof, the upper limit of risk weighted outstanding cross-border financing of a PRC enterprise is 200% of its net assets, or Net Asset Limits. Enterprises shall file with SAFE in its capital item information system after entering into a cross-border financing agreement, but no later than three business days before making a withdrawal.</w:t>
      </w:r>
    </w:p>
    <w:p>
      <w:pPr>
        <w:spacing w:after="0" w:line="24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Approach and the Net Asset Limits and we will need to file the loans with SAFE in its information system in the event that the Notice No. 9 Mechanism applies. Under the PBOC Notice No. 9, after a transition period of one year from January 11, 2017, the PBOC and SAFE will determine the cross-border financing administration mechanism for the foreign-invested enterprises after evaluating the overall implementation of PBOC Notice No. 9. As of the date hereof, neither the PBOC nor SAFE has promulgated and made public any further rules, regulations, notices or circulars in this regard. It is uncertain which mechanism will be adopted by the PBOC and SAFE in the future and what statutory limits will be imposed on us when providing loans to our PRC subsidiaries. Despite neither the Foreign Investment Law nor its Implementing Regulation prescribes whether the certain concept “total investment amount” with respect to foreign-invested enterprises will still be applicable, no PRC laws and regulations have been officially promulgated to abolish the Current Foreign Debt Mechanism.</w:t>
      </w:r>
    </w:p>
    <w:p>
      <w:pPr>
        <w:spacing w:after="0" w:line="275"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January 5, 2023, NDRC issued the Administrative Measures for Examination and Registration of Medium and Long-term Foreign Debts of Enterprises, which became effective on February 10, 2023, provides that enterprises borrowing foreign debts must complete formalities for examination and registration of foreign debts and report and disclose relevant information. Enterprises must complete examination and registration and obtain the Certificate of Examination and Registration from NDRC before they could legally borrow foreign debts. In addition, enterprises must submit information of utilization of foreign debts, repayment, planned arrangements and major business indicators to NDRC at the end of each January and July. Further, since this regulation is relatively new, uncertainties exist in relation to its interpretation and implementation.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Foreign Direct Investments</w:t>
      </w:r>
    </w:p>
    <w:p>
      <w:pPr>
        <w:spacing w:after="0" w:line="8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There is currently no foreign investment review regime in place in Sweden. However, the Swedish Parliament has in 2021 passed amendments to the Swedish Protective Security Act (2018:585) protecting infrastructure of potentially sensitive nature for security of Sweden. In addition, Sweden is in the process of implementing Regulation (EU) 2019/452 establishing a framework for foreign direct investments in the Union, which entered into force on April 11, 2019 and applies since October 11, 2020, with the purpose to create a legal framework for the review of foreign direct investment in the Union with regard to security or public order. As such, Sweden is in the process of implementing the Swedish Foreign Direct Investment Act (2022:000) and it is expected to enter into force late 2023 or early 2024. The proposed Swedish Foreign Direct Investment Act may be subject to changes before being enacted. The proposed Swedish Foreign Direct Investment Act applies to foreign investments in businesses established in Sweden conducting i) vital society functions activities, ii) security-sensitive activities, iii) operations related to materials such as metals and minerals critical to the supply in EU or Sweden, iv) activities related to sensitive personal data or location data, v) activities related to emerging technologies and other technology strategically worth protecting, vi) certain activities related to dual-use products, and vii) certain activities related to military equipment. The proposed Swedish Foreign Direct Investment Act allows the competent authority to prohibit foreign direct investments if it is necessary with regards to Swedish national security. A foreign direct investment may also be prohibited if it is necessary with regard to public order or public safety in Sweden in accordance with articles 52.1 and 65.1(b) of the Treaty on the Functioning of the European Union. Further, the proposed Swedish Foreign Direct Investment Act establishes that a foreign direct investment may be only be carried out if it has been approved or no action has been taken in relation to it by the competent authority. Businesses which intend to invest in an entity covered by the proposed Swedish Foreign Direct Investment Act, are obligated to notify the potential investment to the competent authority in certain cases. This includes the situation in which an investor acquires more than 10% of the ownership of a company. Violations of the proposed Swedish Foreign Direct Investment Act may lead to maximum penalty fee of SEK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7"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2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Position/Title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3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Mario Yau Kwan Ho</w:t>
            </w:r>
          </w:p>
        </w:tc>
        <w:tc>
          <w:tcPr>
            <w:tcW w:w="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Chairman and Co-Chief Executive Officer</w:t>
            </w:r>
          </w:p>
        </w:tc>
        <w:tc>
          <w:tcPr>
            <w:tcW w:w="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Hicham Chahine</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9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Co-Chief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Liwei Sun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9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Heng Tang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and Executive 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Yanjun Xu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and Financial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Lei Zhang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and Senior 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Thomas Neslein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26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Felix Granander</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26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Andrew Reader</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26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Carter Jack Feldman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Independent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Hans Alesund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Independent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Zhiyong Li</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Heng Zhang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Strategy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Hang Sui</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Operating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Haoming Yu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96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Senior 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Mario Yau Kwan Ho </w:t>
      </w:r>
      <w:r>
        <w:rPr>
          <w:rFonts w:ascii="Times New Roman" w:cs="Times New Roman" w:eastAsia="Times New Roman" w:hAnsi="Times New Roman"/>
          <w:sz w:val="18"/>
          <w:szCs w:val="18"/>
          <w:color w:val="auto"/>
        </w:rPr>
        <w:t>is our co-founder, co-chief executive officer and the chairman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He currently serves as the CEO of our Asia business. Mario founded Victory 5 esports club, one of our predecessors, in Shenzhen in December 2018. He has also served as the chairperson of the Macau Esports Federation since April 2018. Mario served as the chief marketing officer of iDreamSky Technology Holdings Limited (01119.HK), or iDreamsky, a digital entertainment company operating in China since May 2018, which was later successfully listed on the Hong Kong Stock Exchange. In 2020, Mario led the merger of Victory 5 with eStar esports club and formed Wuhan ESVF. Mario received his bachelor’s degree in management science from the Massachusetts Institute of Technology in 2016.</w:t>
      </w:r>
    </w:p>
    <w:p>
      <w:pPr>
        <w:spacing w:after="0" w:line="117"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Mr. Hicham Chahine </w:t>
      </w:r>
      <w:r>
        <w:rPr>
          <w:rFonts w:ascii="Times New Roman" w:cs="Times New Roman" w:eastAsia="Times New Roman" w:hAnsi="Times New Roman"/>
          <w:sz w:val="18"/>
          <w:szCs w:val="18"/>
          <w:color w:val="auto"/>
        </w:rPr>
        <w:t>is our co-founder, co-chief executive officer and director. He currently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CEO of our Western business. Hicham acquired Ninjas in Pyjamas in 2016, and has served as its chief executive officer since then. Prior to joining Ninjas in Pyjamas, Hicham had extensive experiences ranging from financial industry to entrepreneurship. From May 2008 to June 2016, he was the managing director of Formuesforvaltning, an independent wealth management firm in the Nordics. In February 2010, Hicham founded and served as chairman of Diglife AS, a private equity firm with investment portfolios in lifestyle, gaming and other technology-related companies. Hicham graduated from BI Norwegian Business School with a bachelor’s degree in business and economics in 2013.</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Liwei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xiaOt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Sun </w:t>
      </w:r>
      <w:r>
        <w:rPr>
          <w:rFonts w:ascii="Times New Roman" w:cs="Times New Roman" w:eastAsia="Times New Roman" w:hAnsi="Times New Roman"/>
          <w:sz w:val="18"/>
          <w:szCs w:val="18"/>
          <w:color w:val="auto"/>
        </w:rPr>
        <w:t>is our president. He has served as our director since February 2021. xiaOt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China’s most famous esports athletes with renown and success in titles such as Warcraft III, Starcraft II and Heroes of the Storm. xiaOt co-founded and served as the chief executive officer of Invictus Gaming esports club in 2012. He founded eStar Gaming in 2014 and led the team to win numerous world and national championships across multiple titles. xiaOt was the co-founder of Wuhan Xingjing Interactive Entertainment Co., Ltd., which later became a subsidiary of Wuhan ESVF. He has also served as the vice-president of the Hubei Esports Association since 2022.</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Mr. Heng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Donald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Tang </w:t>
      </w:r>
      <w:r>
        <w:rPr>
          <w:rFonts w:ascii="Times New Roman" w:cs="Times New Roman" w:eastAsia="Times New Roman" w:hAnsi="Times New Roman"/>
          <w:sz w:val="18"/>
          <w:szCs w:val="18"/>
          <w:color w:val="auto"/>
        </w:rPr>
        <w:t>has served as our director since March 2022. Donald joined us in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our executive vice president and vice chief financial officer. Donald has extensive experiences in investment banking, auditing, investment and fund management. From 2019 to 2022, he served as the chief financial officer of Shenzhen Weiwu Esports Internet Technology Co., Ltd., a subsidiary of Wuhan ESVF. He also served as the investment director of iDreamSky from 2016 to 2019. Donald</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worked as a senior project manager at Huarong Securities Co. Ltd. from 2015 to 2016, a project manager at Century Securities from 2014 to 2015, and a senior auditor at PricewaterhouseCoopers, Shenzhen Branch, from 2011 to 2014. Donald received his master’s degree in finance and management from the University of Exeter in 2010 and is a Senior Member of ACCA.</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Ms. Yanjun Xu </w:t>
      </w:r>
      <w:r>
        <w:rPr>
          <w:rFonts w:ascii="Times New Roman" w:cs="Times New Roman" w:eastAsia="Times New Roman" w:hAnsi="Times New Roman"/>
          <w:sz w:val="18"/>
          <w:szCs w:val="18"/>
          <w:color w:val="auto"/>
        </w:rPr>
        <w:t>has served as our director since March 2022. Yanjun has also been our financial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2020. From 2017 to 2020, she worked as a financial director of a subsidiary of Wuhan Tourism and Sports Group. Yanjun received her bachelor’s degree in management from the Hubei University of Technology in 2013. She was qualified as an intermediate-level accounting professional in 2014 and a CPA professional in 2018.</w:t>
      </w:r>
    </w:p>
    <w:p>
      <w:pPr>
        <w:spacing w:after="0" w:line="10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Lei Zhang </w:t>
      </w:r>
      <w:r>
        <w:rPr>
          <w:rFonts w:ascii="Times New Roman" w:cs="Times New Roman" w:eastAsia="Times New Roman" w:hAnsi="Times New Roman"/>
          <w:sz w:val="18"/>
          <w:szCs w:val="18"/>
          <w:color w:val="auto"/>
        </w:rPr>
        <w:t>has served as our director since February 2021, and our senior vice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Prior to joining us, Lei had served as the general manager for Hongli Culture Communications (Wuhan) Co., Ltd., the operating entity of MAG Studio, since 2017. From 2015 to 2017, he served as general manager of Koi Network Technology (Wuhan) Co., Ltd. He worked as the assistant to the general manager at Yimin Pharmaceuticals from 2013 to 2016, and worked in BGA Division of Airchina Media Co., Ltd. in 2013. Lei has served as the vice president of the Hubei Esports Association since 2022. He received his master’s degree in multimedia from Nottingham Trent University in 2012.</w:t>
      </w:r>
    </w:p>
    <w:p>
      <w:pPr>
        <w:spacing w:after="0" w:line="11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Mr. Thomas Neslein </w:t>
      </w:r>
      <w:r>
        <w:rPr>
          <w:rFonts w:ascii="Times New Roman" w:cs="Times New Roman" w:eastAsia="Times New Roman" w:hAnsi="Times New Roman"/>
          <w:sz w:val="18"/>
          <w:szCs w:val="18"/>
          <w:color w:val="auto"/>
        </w:rPr>
        <w:t>is our director. He founded Nyx Ventures AS, a Norwegian investment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focusing on the gaming and technology sector in 2016. He has held various positions at Pecunia AS, one of the largest property management companies in Norway, since 2015, and currently serves as its deputy chief executive director. Thomas worked as an investment analyst in Formuesforvaltning AS from 2014 to 2016, where his responsibilities involved trading in global equities. Thomas received his master’s degree of science from Columbia University in 2018.</w:t>
      </w:r>
    </w:p>
    <w:p>
      <w:pPr>
        <w:spacing w:after="0" w:line="114"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Mr. Felix Granander </w:t>
      </w:r>
      <w:r>
        <w:rPr>
          <w:rFonts w:ascii="Times New Roman" w:cs="Times New Roman" w:eastAsia="Times New Roman" w:hAnsi="Times New Roman"/>
          <w:sz w:val="18"/>
          <w:szCs w:val="18"/>
          <w:color w:val="auto"/>
        </w:rPr>
        <w:t>is our director. He is also the founder and executive manager of Unknown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a venture capital focusing on media and technology companies. Felix invests in media and technology sectors through the Stenbeck family office Kinnevik, which is considered one of Sweden’s most prominent investment institutions.</w:t>
      </w:r>
    </w:p>
    <w:p>
      <w:pPr>
        <w:spacing w:after="0" w:line="10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Mr. Andrew Reader </w:t>
      </w:r>
      <w:r>
        <w:rPr>
          <w:rFonts w:ascii="Times New Roman" w:cs="Times New Roman" w:eastAsia="Times New Roman" w:hAnsi="Times New Roman"/>
          <w:sz w:val="18"/>
          <w:szCs w:val="18"/>
          <w:color w:val="auto"/>
        </w:rPr>
        <w:t>is our director. He has also been a director at Velo Partners since 2013,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office managing capital for ultra-high net worth individuals from the United Kingdom and South Africa. Andrew has extensive experience in scaling and business planning. Prior to joining Velo partners, he had worked at Jefferies Financial Group Inc. (NYSE: JEF) with a focus on technology investment banking. Andrew received his bachelor’s degree in business administration from University of Bath in 2008.</w:t>
      </w:r>
    </w:p>
    <w:p>
      <w:pPr>
        <w:spacing w:after="0" w:line="109" w:lineRule="exact"/>
        <w:rPr>
          <w:sz w:val="20"/>
          <w:szCs w:val="20"/>
          <w:color w:val="auto"/>
        </w:rPr>
      </w:pPr>
    </w:p>
    <w:p>
      <w:pPr>
        <w:ind w:left="1260" w:right="63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Mr. Carter Jack Feldman </w:t>
      </w:r>
      <w:r>
        <w:rPr>
          <w:rFonts w:ascii="Times New Roman" w:cs="Times New Roman" w:eastAsia="Times New Roman" w:hAnsi="Times New Roman"/>
          <w:sz w:val="18"/>
          <w:szCs w:val="18"/>
          <w:color w:val="auto"/>
        </w:rPr>
        <w:t>is our independent director. He has also been the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Assets Standards since May 2022 which is a company that works with large game publishers to standardize dynamic digital assets across games. Carter has also served as the chief technology officer of Dreamwalk Technologies Limited since 2018. He is otherwise known for creating the first Minecraft modding engine for mobile devices, ModPE, which has been installed on over 20,000,000 devices around the world.</w:t>
      </w:r>
    </w:p>
    <w:p>
      <w:pPr>
        <w:spacing w:after="0" w:line="32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Mr. Hans Alesund </w:t>
      </w:r>
      <w:r>
        <w:rPr>
          <w:rFonts w:ascii="Times New Roman" w:cs="Times New Roman" w:eastAsia="Times New Roman" w:hAnsi="Times New Roman"/>
          <w:sz w:val="18"/>
          <w:szCs w:val="18"/>
          <w:color w:val="auto"/>
        </w:rPr>
        <w:t>is our independent director. He has over 30 years of experience within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with roles ranging from marketing and sales to operations. Hans served as the chief executive officer of Technology Nexus S.O.S. AB, an IT consultant and contract developer, from December 1997 to March 2006. He was also the chief executive director of Landis+Gyr from April 2006 to June 2016. Since February 2012, he has been the chief executive officer and co-owner of Get Right Sweden AB. He had also obtained board positions at Allegro Information system Ab, Level 21 Management AB prior to becoming a board member of NIP in 2016. Hans received his bachelor’s degree in statistics from Stockholm University in 1974.</w:t>
      </w:r>
    </w:p>
    <w:p>
      <w:pPr>
        <w:spacing w:after="0" w:line="32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Zhiyong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 </w:t>
      </w:r>
      <w:r>
        <w:rPr>
          <w:rFonts w:ascii="Times New Roman" w:cs="Times New Roman" w:eastAsia="Times New Roman" w:hAnsi="Times New Roman"/>
          <w:sz w:val="18"/>
          <w:szCs w:val="18"/>
          <w:color w:val="auto"/>
        </w:rPr>
        <w:t>has served as our chief financial officer since August 2022. Prior to joining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 served as our financial advisor for approximately eight months. He was the chief financial officer of BlueCity Holdings Limited (Nasdaq: BLCT) from 2019 to 2021. He also served multiple positions in GDS Holdings Limited (Nasdaq: GDS) from 2007 to 2019, with the last position held as finance vice president from 2014 to 2019. Ben worked as an associate at PricewaterhouseCoopers Zhong Tian LLP, Beijing Branch from 2005 to 2007. He received his bachelor’s degree in national economic management from the Renmin University of China in 2005.</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Heng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Vulcan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Zhang </w:t>
      </w:r>
      <w:r>
        <w:rPr>
          <w:rFonts w:ascii="Times New Roman" w:cs="Times New Roman" w:eastAsia="Times New Roman" w:hAnsi="Times New Roman"/>
          <w:sz w:val="18"/>
          <w:szCs w:val="18"/>
          <w:color w:val="auto"/>
        </w:rPr>
        <w:t>joined us in March 2021. He oversees our strategic development,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relations and corporate financing. He also serves as the secretary to our board. From 2014 to 2020, Vulcan was a senior vice president and secretary to the board of iDreamSky. Vulcan has a China securities investment fund industry practice certificate issued in 2017 by the Asset Management Association of China, and certificates of qualification as secretary of the board of directors from issued in 2016 by the Shenzhen Stock Exchange and the Shanghai Stock Exchange. He has also become a co- member of the Hong Kong Chartered Secretaries’ Union in 2020. Vulcan received his financial master’s degree in business administration (FMBA) from the Chinese University of Hong Kong — Tsinghua University Cooperative Education in 2017.</w:t>
      </w:r>
    </w:p>
    <w:p>
      <w:pPr>
        <w:spacing w:after="0" w:line="32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Mr. Hang (Allen) Sui </w:t>
      </w:r>
      <w:r>
        <w:rPr>
          <w:rFonts w:ascii="Times New Roman" w:cs="Times New Roman" w:eastAsia="Times New Roman" w:hAnsi="Times New Roman"/>
          <w:sz w:val="18"/>
          <w:szCs w:val="18"/>
          <w:color w:val="auto"/>
        </w:rPr>
        <w:t>joined us in November 2023 to serve as the chief operating officer. As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earliest participants in the Chinese esports industry, Allen has approximately 15 years of experience in the operation of domestic and global competitive gaming projects, including Crossfire, AVA Online, War Thunder, PUBG: Battlegrounds, Valorant and Freestyle. Prior to joining us, Allen served as the assistant publishing producer and publishing producer in the gaming division of Tencent from 2009 to 2018, and associate director of Tencent from 2018 to 2023. Allen was also a former professional Counter-Strike player who competed for WizArds team in 2003. Allen received his master’s degree in laws from Changchun University of Technology in 2009.</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Mr. Haoming Yu </w:t>
      </w:r>
      <w:r>
        <w:rPr>
          <w:rFonts w:ascii="Times New Roman" w:cs="Times New Roman" w:eastAsia="Times New Roman" w:hAnsi="Times New Roman"/>
          <w:sz w:val="18"/>
          <w:szCs w:val="18"/>
          <w:color w:val="auto"/>
        </w:rPr>
        <w:t>has served as the senior vice president and the head of our talent management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 since August 2021. Prior to joining us, Haoming had years of experience in event planning and operation in the media industry and has served as the director general of multiple large-scale new product promotion projects, including Coca-Cola, Red Bull, P&amp;G, JD Logistics, and VV Soybean Milk. He founded Sacho Interactive Entertainment, a professionally generated content agency in 2017, and Shanqiu Culture Communication in 2018 to develop livestreaming economy business. He worked as the co-founder after the merger with Shanghai Huangxi Culture in May 2020. Haoming received his master’s degree in design from the China University of Geosciences in 2015.</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will consist of           directors upon the SEC’s declaration of effectiveness of our registration statement on Form F- 1 of 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Nasdaq rules and disqualification by the chairman of the relevant board meeting,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or other securities whenever money is borrowed or as security for any debt, liability or obligation of our company or of any third-party. None of our non-executive directors has a service contract with us that provides for benefits upon termination of service.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Our audit committee will consist of                 ,                 and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the chairperson of our audit committee. We have determined that               and                 satisfy the “independence” requirements of Rule 5605(a)(2) of the Listing Rules of the Nasdaq Stock Market and Rule 10A-3 under the Exchange Act. We have determined that                 qualifies as an “audit committee financial expert.” The audit committee will oversee our accounting and financial reporting processes and the audits of the financial statements of our company. The audit committee will be responsible for, among other things: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3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0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79" w:lineRule="exact"/>
        <w:rPr>
          <w:sz w:val="20"/>
          <w:szCs w:val="20"/>
          <w:color w:val="auto"/>
        </w:rPr>
      </w:pPr>
    </w:p>
    <w:p>
      <w:pPr>
        <w:ind w:left="1620"/>
        <w:spacing w:after="0"/>
        <w:tabs>
          <w:tab w:leader="none" w:pos="3740" w:val="left"/>
        </w:tabs>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Our compensation committee will consist of                 ,                </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                 will be the chairperson of our compensation committee. We have determined that</w:t>
      </w:r>
    </w:p>
    <w:p>
      <w:pPr>
        <w:ind w:left="1260" w:right="439"/>
        <w:spacing w:after="0"/>
        <w:tabs>
          <w:tab w:leader="none" w:pos="13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satisfy the “independence” requirements of Rule 5605(a)(2)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79"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40"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9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will consist of                 ,                 and                 .                 will be the chairperson of our nominating and corporate governance committee.                 and                 satisfy the “independence” requirements of Rule 5605(a)(2) of the Listing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75" w:lineRule="exact"/>
        <w:rPr>
          <w:sz w:val="20"/>
          <w:szCs w:val="20"/>
          <w:color w:val="auto"/>
        </w:rPr>
      </w:pPr>
    </w:p>
    <w:p>
      <w:pPr>
        <w:ind w:left="1800" w:right="57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53" w:lineRule="exact"/>
        <w:rPr>
          <w:rFonts w:ascii="Times New Roman" w:cs="Times New Roman" w:eastAsia="Times New Roman" w:hAnsi="Times New Roman"/>
          <w:sz w:val="18"/>
          <w:szCs w:val="18"/>
          <w:color w:val="auto"/>
        </w:rPr>
      </w:pPr>
    </w:p>
    <w:p>
      <w:pPr>
        <w:ind w:left="1800" w:right="15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326"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54" w:lineRule="exact"/>
        <w:rPr>
          <w:sz w:val="20"/>
          <w:szCs w:val="20"/>
          <w:color w:val="auto"/>
        </w:rPr>
      </w:pPr>
    </w:p>
    <w:p>
      <w:pPr>
        <w:ind w:left="1800" w:right="10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their office is vacated or where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cease to be a director if, among other things, the director (i) becomes bankrupt or makes any arrangement or composition with his or her creditors; (ii) dies or is found to be or becomes of unsound mind; (iii) resigns his or her office by notice in writing to our company, or (iv) without special leave of absence from our board, is absent from three consecutive board meetings and our directors resolve that his or her office be vacated; or (v) is removed from office pursuant to any other provision of our articles of association.</w:t>
      </w:r>
    </w:p>
    <w:p>
      <w:pPr>
        <w:spacing w:after="0" w:line="33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60 -day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32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third-party received by us and for which we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9" w:lineRule="auto"/>
        <w:rPr>
          <w:sz w:val="20"/>
          <w:szCs w:val="20"/>
          <w:color w:val="auto"/>
        </w:rPr>
      </w:pPr>
      <w:r>
        <w:rPr>
          <w:rFonts w:ascii="Times New Roman" w:cs="Times New Roman" w:eastAsia="Times New Roman" w:hAnsi="Times New Roman"/>
          <w:sz w:val="18"/>
          <w:szCs w:val="18"/>
          <w:color w:val="auto"/>
        </w:rPr>
        <w:t>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33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direct or end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employment or services of, or hire or engage, any person who is known to be employed or engaged by us; or (iv) otherwise interfere with our business or accounts.</w:t>
      </w:r>
    </w:p>
    <w:p>
      <w:pPr>
        <w:spacing w:after="0" w:line="337"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US$3.9 million in cash and benefits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2021, we adopted 2021 Share Incentive Plan, or 2021 Plan, to attract and retain the best available personnel, to provide additional incentives to employees and to promote the success of our business. The maximum aggregate number of ordinary shares of NIP Group Inc. which may be issued under the 2021 Plan is 4,360,799, which has been proportionately adjusted under the Restructuring.</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2021 Plan.</w:t>
      </w:r>
    </w:p>
    <w:p>
      <w:pPr>
        <w:spacing w:after="0" w:line="14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appointed by our board of directors 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plan administrator. The board of directors or the committee may also delegate its powers under the 2021 Plan to one or more officers of the Company to grant or amend awards or take other general administrative actions.</w:t>
      </w:r>
    </w:p>
    <w:p>
      <w:pPr>
        <w:spacing w:after="0" w:line="112"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2021 Plan permits the awards of options, restricted shares, restricted share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other type of awards approved by the plan administrator.</w:t>
      </w:r>
    </w:p>
    <w:p>
      <w:pPr>
        <w:spacing w:after="0" w:line="91" w:lineRule="exact"/>
        <w:rPr>
          <w:sz w:val="20"/>
          <w:szCs w:val="20"/>
          <w:color w:val="auto"/>
        </w:rPr>
      </w:pPr>
    </w:p>
    <w:p>
      <w:pPr>
        <w:ind w:left="1260" w:right="7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2021 Plan shall be evidenced by an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award recipient and the Company, which may be any written notice, agreement, terms and conditions, contract or other instrument or document evidencing the grant of such awards.</w:t>
      </w:r>
    </w:p>
    <w:p>
      <w:pPr>
        <w:spacing w:after="0" w:line="25" w:lineRule="exact"/>
        <w:rPr>
          <w:sz w:val="20"/>
          <w:szCs w:val="20"/>
          <w:color w:val="auto"/>
        </w:rPr>
      </w:pPr>
    </w:p>
    <w:p>
      <w:pPr>
        <w:ind w:left="16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We may grant awards to employees of our company and our subsidiaries.</w:t>
      </w:r>
    </w:p>
    <w:p>
      <w:pPr>
        <w:spacing w:after="0" w:line="77"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Term of Awards</w:t>
      </w:r>
      <w:r>
        <w:rPr>
          <w:rFonts w:ascii="Times New Roman" w:cs="Times New Roman" w:eastAsia="Times New Roman" w:hAnsi="Times New Roman"/>
          <w:sz w:val="18"/>
          <w:szCs w:val="18"/>
          <w:color w:val="auto"/>
        </w:rPr>
        <w:t>. Each award under the 2021 Plan shall vest or be exercised not more than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unless extended by the plan administrator. Each share award is subject to earlier termination as set forth in the 2021 Plan. The award is only exercisable before the eligible individual’s termination of service with us, except as determined otherwise by the plan administrator or set forth in the award agreement. Any awards that are outstanding on the tenth anniversary of the 2021 Plan shall lapse automatically.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Vesting Schedule and Other Restrictions</w:t>
      </w:r>
      <w:r>
        <w:rPr>
          <w:rFonts w:ascii="Times New Roman" w:cs="Times New Roman" w:eastAsia="Times New Roman" w:hAnsi="Times New Roman"/>
          <w:sz w:val="18"/>
          <w:szCs w:val="18"/>
          <w:color w:val="auto"/>
        </w:rPr>
        <w:t>. The plan administrator has discretion in determining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vesting schedules and other restrictions applicable to the awards granted under the 2021 Plan. The vesting schedule is set forth in the award agreement.</w:t>
      </w:r>
    </w:p>
    <w:p>
      <w:pPr>
        <w:spacing w:after="0" w:line="38" w:lineRule="exact"/>
        <w:rPr>
          <w:sz w:val="20"/>
          <w:szCs w:val="20"/>
          <w:color w:val="auto"/>
        </w:rPr>
      </w:pPr>
    </w:p>
    <w:p>
      <w:pPr>
        <w:jc w:val="both"/>
        <w:ind w:left="1260" w:right="6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plan administrator has discretion in determining the price of the awards,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a fixed or variable price related to the fair market value of the underlying ordinary shares and are subject to a number of limitations.</w:t>
      </w:r>
    </w:p>
    <w:p>
      <w:pPr>
        <w:spacing w:after="0" w:line="25" w:lineRule="exact"/>
        <w:rPr>
          <w:sz w:val="20"/>
          <w:szCs w:val="20"/>
          <w:color w:val="auto"/>
        </w:rPr>
      </w:pPr>
    </w:p>
    <w:p>
      <w:pPr>
        <w:ind w:left="1260" w:right="11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Unless terminated earlier, the 2021 Plan has a term of ten years from its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w:t>
      </w:r>
    </w:p>
    <w:p>
      <w:pPr>
        <w:spacing w:after="0" w:line="1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Amendment, Suspension or Termination</w:t>
      </w:r>
      <w:r>
        <w:rPr>
          <w:rFonts w:ascii="Times New Roman" w:cs="Times New Roman" w:eastAsia="Times New Roman" w:hAnsi="Times New Roman"/>
          <w:sz w:val="18"/>
          <w:szCs w:val="18"/>
          <w:color w:val="auto"/>
        </w:rPr>
        <w:t>. Our board of directors may at any time terminate, amend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2021 Plan, except where shareholder approval is required to comply with applicable laws or where the amendment relates to (i) any increases in the number of shares available under the 2021 Plan (other than any adjustment permitted under the 2021 Plan), or (ii) an extension of the term of the 2021 Plan or the exercise period for an option beyond ten years from the date of grant. To the extent permissible under the applicable laws, our board of directors may decide to follow home country practice not to seek shareholder approval for any amendment or modification of the 2021 Plan. However, no amendment, suspension or termination of the 2021 Plan shall, without the consent of the award recipients, adversely affect in any material way any award that has been granted or awarded prior to such amendment, suspension or termination.</w:t>
      </w:r>
    </w:p>
    <w:p>
      <w:pPr>
        <w:spacing w:after="0" w:line="269" w:lineRule="exact"/>
        <w:rPr>
          <w:sz w:val="20"/>
          <w:szCs w:val="20"/>
          <w:color w:val="auto"/>
        </w:rPr>
      </w:pPr>
    </w:p>
    <w:p>
      <w:pPr>
        <w:ind w:left="126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Transfer Restriction</w:t>
      </w:r>
      <w:r>
        <w:rPr>
          <w:rFonts w:ascii="Times New Roman" w:cs="Times New Roman" w:eastAsia="Times New Roman" w:hAnsi="Times New Roman"/>
          <w:sz w:val="18"/>
          <w:szCs w:val="18"/>
          <w:color w:val="auto"/>
        </w:rPr>
        <w:t>. Awards may not be transferred in any manner by the eligible employees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in accordance with the exceptions provided in the 2021 Plan, such as by will or by the laws of descent or distribution.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Trust</w:t>
      </w:r>
    </w:p>
    <w:p>
      <w:pPr>
        <w:spacing w:after="0" w:line="8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ESVF Trust was established under a trust deed between our Company as settlor and Vistra Trust (Hong Kong) Limited, or the VTHK, as trustee, on January 20, 2023. Through the ESVF Trust, our ordinary shares and other rights and interests under awards granted pursuant to our 2021 Plan may be provided to certain award recipients. As of the date of this prospectus, some of the award recipients under the 2021 Plan participated in the ESVF Trust.</w:t>
      </w:r>
    </w:p>
    <w:p>
      <w:pPr>
        <w:spacing w:after="0" w:line="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Participants in the ESVF Trust transfer their awards to Vistra Trust to be held for their benefit. Upon satisfaction of vesting conditions and request by award recipients, the VTHK as trustee of the ESVF Trust will exercise the awards and transfer the relevant ordinary shares and other rights and interests under the awards to the relevant participants upon written instructions by an advisory committee established by the plan administrator. The advisory committee is authorized by the plan administrator to make all determinations and provide directions to the VTHK in relation to the administration of the ESVF Trust and the 2021 Plan. The trust deed provides that the VTHK as trustee of the ESVF Trust shall not exercise the voting rights attached to such ordinary shares unless otherwise directed by the advisory committee.</w:t>
      </w:r>
    </w:p>
    <w:p>
      <w:pPr>
        <w:spacing w:after="0" w:line="43"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options that we have granted to our directors and executive officers, all of which have been exercised for our ordinary shares.</w:t>
      </w:r>
    </w:p>
    <w:p>
      <w:pPr>
        <w:spacing w:after="0" w:line="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60" w:type="dxa"/>
            <w:vAlign w:val="bottom"/>
          </w:tcPr>
          <w:p>
            <w:pPr>
              <w:spacing w:after="0"/>
              <w:rPr>
                <w:sz w:val="14"/>
                <w:szCs w:val="14"/>
                <w:color w:val="auto"/>
              </w:rPr>
            </w:pPr>
          </w:p>
        </w:tc>
      </w:tr>
      <w:tr>
        <w:trPr>
          <w:trHeight w:val="214"/>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Options Granted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(US$/Share)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Heng Tang</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​1,104,590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30, 2021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-170815</wp:posOffset>
            </wp:positionV>
            <wp:extent cx="137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-170815</wp:posOffset>
            </wp:positionV>
            <wp:extent cx="137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-170815</wp:posOffset>
            </wp:positionV>
            <wp:extent cx="137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prospectus, we do not have any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w:t>
      </w:r>
    </w:p>
    <w:p>
      <w:pPr>
        <w:spacing w:after="0" w:line="175" w:lineRule="exact"/>
        <w:rPr>
          <w:sz w:val="20"/>
          <w:szCs w:val="20"/>
          <w:color w:val="auto"/>
        </w:rPr>
      </w:pPr>
    </w:p>
    <w:p>
      <w:pPr>
        <w:ind w:left="1260" w:right="1540" w:firstLine="360"/>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54" w:lineRule="exact"/>
        <w:rPr>
          <w:sz w:val="20"/>
          <w:szCs w:val="20"/>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5% or more of our shares.</w:t>
      </w:r>
    </w:p>
    <w:p>
      <w:pPr>
        <w:spacing w:after="0" w:line="158" w:lineRule="exact"/>
        <w:rPr>
          <w:sz w:val="20"/>
          <w:szCs w:val="20"/>
          <w:color w:val="auto"/>
        </w:rPr>
      </w:pPr>
    </w:p>
    <w:p>
      <w:pPr>
        <w:ind w:left="1260" w:right="1320" w:firstLine="360"/>
        <w:spacing w:after="0" w:line="263" w:lineRule="auto"/>
        <w:rPr>
          <w:sz w:val="20"/>
          <w:szCs w:val="20"/>
          <w:color w:val="auto"/>
        </w:rPr>
      </w:pPr>
      <w:r>
        <w:rPr>
          <w:rFonts w:ascii="Times New Roman" w:cs="Times New Roman" w:eastAsia="Times New Roman" w:hAnsi="Times New Roman"/>
          <w:sz w:val="18"/>
          <w:szCs w:val="18"/>
          <w:color w:val="auto"/>
        </w:rPr>
        <w:t>The calculations in the table below are based on 107,611,307 shares issued and outstanding as of the date of this prospectus on an as-converted basis, and               ordinary shares outstanding immediately after the completion of this offering, assuming the underwriters do not exercise their option to purchase additional ADSs.</w:t>
      </w:r>
    </w:p>
    <w:p>
      <w:pPr>
        <w:spacing w:after="0" w:line="319" w:lineRule="exact"/>
        <w:rPr>
          <w:sz w:val="20"/>
          <w:szCs w:val="20"/>
          <w:color w:val="auto"/>
        </w:rPr>
      </w:pPr>
    </w:p>
    <w:p>
      <w:pPr>
        <w:ind w:left="1260" w:right="1480" w:firstLine="36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7"/>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Shares Beneficially Owned</w:t>
            </w:r>
          </w:p>
        </w:tc>
        <w:tc>
          <w:tcPr>
            <w:tcW w:w="1260" w:type="dxa"/>
            <w:vAlign w:val="bottom"/>
          </w:tcPr>
          <w:p>
            <w:pPr>
              <w:spacing w:after="0"/>
              <w:rPr>
                <w:sz w:val="14"/>
                <w:szCs w:val="14"/>
                <w:color w:val="auto"/>
              </w:rPr>
            </w:pPr>
          </w:p>
        </w:tc>
      </w:tr>
      <w:tr>
        <w:trPr>
          <w:trHeight w:val="200"/>
        </w:trPr>
        <w:tc>
          <w:tcPr>
            <w:tcW w:w="126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to This Offering</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520" w:type="dxa"/>
            <w:vAlign w:val="bottom"/>
            <w:gridSpan w:val="6"/>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After This Offering</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      % of</w:t>
            </w: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1260" w:type="dxa"/>
            <w:vAlign w:val="bottom"/>
          </w:tcPr>
          <w:p>
            <w:pPr>
              <w:spacing w:after="0"/>
              <w:rPr>
                <w:sz w:val="14"/>
                <w:szCs w:val="14"/>
                <w:color w:val="auto"/>
              </w:rPr>
            </w:pPr>
          </w:p>
        </w:tc>
      </w:tr>
      <w:tr>
        <w:trPr>
          <w:trHeight w:val="200"/>
        </w:trPr>
        <w:tc>
          <w:tcPr>
            <w:tcW w:w="126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4600" w:type="dxa"/>
            <w:vAlign w:val="bottom"/>
            <w:gridSpan w:val="14"/>
          </w:tcPr>
          <w:p>
            <w:pPr>
              <w:jc w:val="center"/>
              <w:ind w:right="1031"/>
              <w:spacing w:after="0"/>
              <w:rPr>
                <w:sz w:val="20"/>
                <w:szCs w:val="20"/>
                <w:color w:val="auto"/>
              </w:rPr>
            </w:pPr>
            <w:r>
              <w:rPr>
                <w:rFonts w:ascii="Times New Roman" w:cs="Times New Roman" w:eastAsia="Times New Roman" w:hAnsi="Times New Roman"/>
                <w:sz w:val="14"/>
                <w:szCs w:val="14"/>
                <w:b w:val="1"/>
                <w:bCs w:val="1"/>
                <w:color w:val="auto"/>
              </w:rPr>
              <w:t>Number   ​​      %** ​​Number ​​      %** ​​ Power*** ​</w:t>
            </w: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right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Mario Yau Kwan Ho</w:t>
            </w:r>
            <w:r>
              <w:rPr>
                <w:rFonts w:ascii="Times New Roman" w:cs="Times New Roman" w:eastAsia="Times New Roman" w:hAnsi="Times New Roman"/>
                <w:sz w:val="23"/>
                <w:szCs w:val="23"/>
                <w:color w:val="auto"/>
                <w:vertAlign w:val="superscript"/>
              </w:rPr>
              <w:t>(1)</w:t>
            </w:r>
          </w:p>
        </w:tc>
        <w:tc>
          <w:tcPr>
            <w:tcW w:w="252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15,278,950​​​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 ​​​</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Hicham Chahine</w:t>
            </w:r>
            <w:r>
              <w:rPr>
                <w:rFonts w:ascii="Times New Roman" w:cs="Times New Roman" w:eastAsia="Times New Roman" w:hAnsi="Times New Roman"/>
                <w:sz w:val="23"/>
                <w:szCs w:val="23"/>
                <w:color w:val="auto"/>
                <w:vertAlign w:val="superscript"/>
              </w:rPr>
              <w:t>(2)</w:t>
            </w:r>
          </w:p>
        </w:tc>
        <w:tc>
          <w:tcPr>
            <w:tcW w:w="252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13,362,381​​​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 ​​​</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Liwei Sun</w:t>
            </w:r>
            <w:r>
              <w:rPr>
                <w:rFonts w:ascii="Times New Roman" w:cs="Times New Roman" w:eastAsia="Times New Roman" w:hAnsi="Times New Roman"/>
                <w:sz w:val="23"/>
                <w:szCs w:val="23"/>
                <w:color w:val="auto"/>
                <w:vertAlign w:val="superscript"/>
              </w:rPr>
              <w:t>(3)</w:t>
            </w:r>
          </w:p>
        </w:tc>
        <w:tc>
          <w:tcPr>
            <w:tcW w:w="23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9,362,987​​​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8.7</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Heng Tang</w:t>
            </w:r>
            <w:r>
              <w:rPr>
                <w:rFonts w:ascii="Times New Roman" w:cs="Times New Roman" w:eastAsia="Times New Roman" w:hAnsi="Times New Roman"/>
                <w:sz w:val="23"/>
                <w:szCs w:val="23"/>
                <w:color w:val="auto"/>
                <w:vertAlign w:val="superscript"/>
              </w:rPr>
              <w:t>(4)</w:t>
            </w:r>
          </w:p>
        </w:tc>
        <w:tc>
          <w:tcPr>
            <w:tcW w:w="2340" w:type="dxa"/>
            <w:vAlign w:val="bottom"/>
            <w:tcBorders>
              <w:right w:val="single" w:sz="8" w:color="CCEEFF"/>
            </w:tcBorders>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1,104,590​​​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Yanjun Xu</w:t>
            </w:r>
          </w:p>
        </w:tc>
        <w:tc>
          <w:tcPr>
            <w:tcW w:w="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Lei Zhang</w:t>
            </w:r>
          </w:p>
        </w:tc>
        <w:tc>
          <w:tcPr>
            <w:tcW w:w="96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Thomas Neslein</w:t>
            </w:r>
            <w:r>
              <w:rPr>
                <w:rFonts w:ascii="Times New Roman" w:cs="Times New Roman" w:eastAsia="Times New Roman" w:hAnsi="Times New Roman"/>
                <w:sz w:val="23"/>
                <w:szCs w:val="23"/>
                <w:color w:val="auto"/>
                <w:vertAlign w:val="superscript"/>
              </w:rPr>
              <w:t>(5)</w:t>
            </w:r>
          </w:p>
        </w:tc>
        <w:tc>
          <w:tcPr>
            <w:tcW w:w="252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13,086,142​​​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 ​​​</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Felix Granander</w:t>
            </w:r>
            <w:r>
              <w:rPr>
                <w:rFonts w:ascii="Times New Roman" w:cs="Times New Roman" w:eastAsia="Times New Roman" w:hAnsi="Times New Roman"/>
                <w:sz w:val="23"/>
                <w:szCs w:val="23"/>
                <w:color w:val="auto"/>
                <w:vertAlign w:val="superscript"/>
              </w:rPr>
              <w:t>(6)</w:t>
            </w:r>
          </w:p>
        </w:tc>
        <w:tc>
          <w:tcPr>
            <w:tcW w:w="252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12,268,258​​​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 ​​​</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Andrew Reader</w:t>
            </w:r>
          </w:p>
        </w:tc>
        <w:tc>
          <w:tcPr>
            <w:tcW w:w="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Carter Jack Feldman</w:t>
            </w:r>
          </w:p>
        </w:tc>
        <w:tc>
          <w:tcPr>
            <w:tcW w:w="96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Hans Alesund</w:t>
            </w:r>
          </w:p>
        </w:tc>
        <w:tc>
          <w:tcPr>
            <w:tcW w:w="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Zhiyong Li</w:t>
            </w:r>
          </w:p>
        </w:tc>
        <w:tc>
          <w:tcPr>
            <w:tcW w:w="96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Heng Zhang</w:t>
            </w:r>
          </w:p>
        </w:tc>
        <w:tc>
          <w:tcPr>
            <w:tcW w:w="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Sui</w:t>
            </w:r>
          </w:p>
        </w:tc>
        <w:tc>
          <w:tcPr>
            <w:tcW w:w="96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Haoming Yu</w:t>
            </w:r>
            <w:r>
              <w:rPr>
                <w:rFonts w:ascii="Times New Roman" w:cs="Times New Roman" w:eastAsia="Times New Roman" w:hAnsi="Times New Roman"/>
                <w:sz w:val="23"/>
                <w:szCs w:val="23"/>
                <w:color w:val="auto"/>
                <w:vertAlign w:val="superscript"/>
              </w:rPr>
              <w:t>(7)</w:t>
            </w:r>
          </w:p>
        </w:tc>
        <w:tc>
          <w:tcPr>
            <w:tcW w:w="23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1,484,949​​​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252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​​​68,077,412​​​ ​63.3 ​​​</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Seventh Hokage Management Limited</w:t>
            </w:r>
            <w:r>
              <w:rPr>
                <w:rFonts w:ascii="Times New Roman" w:cs="Times New Roman" w:eastAsia="Times New Roman" w:hAnsi="Times New Roman"/>
                <w:sz w:val="23"/>
                <w:szCs w:val="23"/>
                <w:color w:val="auto"/>
                <w:vertAlign w:val="superscript"/>
              </w:rPr>
              <w:t>(1)</w:t>
            </w:r>
          </w:p>
        </w:tc>
        <w:tc>
          <w:tcPr>
            <w:tcW w:w="252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15,278,950​​​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 ​​​</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Digilife AS</w:t>
            </w:r>
            <w:r>
              <w:rPr>
                <w:rFonts w:ascii="Times New Roman" w:cs="Times New Roman" w:eastAsia="Times New Roman" w:hAnsi="Times New Roman"/>
                <w:sz w:val="23"/>
                <w:szCs w:val="23"/>
                <w:color w:val="auto"/>
                <w:vertAlign w:val="superscript"/>
              </w:rPr>
              <w:t>(2)</w:t>
            </w:r>
          </w:p>
        </w:tc>
        <w:tc>
          <w:tcPr>
            <w:tcW w:w="252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13,362,381​​​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 ​​​</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Nyx Ventures AS</w:t>
            </w:r>
            <w:r>
              <w:rPr>
                <w:rFonts w:ascii="Times New Roman" w:cs="Times New Roman" w:eastAsia="Times New Roman" w:hAnsi="Times New Roman"/>
                <w:sz w:val="23"/>
                <w:szCs w:val="23"/>
                <w:color w:val="auto"/>
                <w:vertAlign w:val="superscript"/>
              </w:rPr>
              <w:t>(5)</w:t>
            </w:r>
          </w:p>
        </w:tc>
        <w:tc>
          <w:tcPr>
            <w:tcW w:w="252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13,086,142​​​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 ​​​</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Tolsona Ltd.</w:t>
            </w:r>
            <w:r>
              <w:rPr>
                <w:rFonts w:ascii="Times New Roman" w:cs="Times New Roman" w:eastAsia="Times New Roman" w:hAnsi="Times New Roman"/>
                <w:sz w:val="23"/>
                <w:szCs w:val="23"/>
                <w:color w:val="auto"/>
                <w:vertAlign w:val="superscript"/>
              </w:rPr>
              <w:t>(6)</w:t>
            </w:r>
          </w:p>
        </w:tc>
        <w:tc>
          <w:tcPr>
            <w:tcW w:w="252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12,268,258​​​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 ​​​</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xiaOt Sun Holdings Limited</w:t>
            </w:r>
            <w:r>
              <w:rPr>
                <w:rFonts w:ascii="Times New Roman" w:cs="Times New Roman" w:eastAsia="Times New Roman" w:hAnsi="Times New Roman"/>
                <w:sz w:val="23"/>
                <w:szCs w:val="23"/>
                <w:color w:val="auto"/>
                <w:vertAlign w:val="superscript"/>
              </w:rPr>
              <w:t>(3)</w:t>
            </w:r>
          </w:p>
        </w:tc>
        <w:tc>
          <w:tcPr>
            <w:tcW w:w="2340" w:type="dxa"/>
            <w:vAlign w:val="bottom"/>
            <w:tcBorders>
              <w:right w:val="single" w:sz="8" w:color="CCEEFF"/>
            </w:tcBorders>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9,362,987​​​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126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Shanghai Yuyun Management Partnership (Limited</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06"/>
        </w:trPr>
        <w:tc>
          <w:tcPr>
            <w:tcW w:w="12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w:t>
            </w:r>
            <w:r>
              <w:rPr>
                <w:rFonts w:ascii="Times New Roman" w:cs="Times New Roman" w:eastAsia="Times New Roman" w:hAnsi="Times New Roman"/>
                <w:sz w:val="23"/>
                <w:szCs w:val="23"/>
                <w:color w:val="auto"/>
                <w:vertAlign w:val="superscript"/>
              </w:rPr>
              <w:t>(8)</w:t>
            </w:r>
          </w:p>
        </w:tc>
        <w:tc>
          <w:tcPr>
            <w:tcW w:w="23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9,101,851​​​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8.5</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79"/>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148</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-4516755</wp:posOffset>
            </wp:positionV>
            <wp:extent cx="52120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519" w:hanging="360"/>
        <w:spacing w:after="0" w:line="281" w:lineRule="auto"/>
        <w:tabs>
          <w:tab w:leader="none" w:pos="16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indicated below, the business address of our directors and executive officers is Rosenlundsgatan 31, 11863, Stockholm, Sweden. The business address of Mario Yau Kwan Ho, Liwei “xiaOt” Sun, Heng Tang, Yanjun Xu, Lei Zhang, Ben Li, Heng Zhang and Haoming Yu is No. 26, Gaoxin 2nd Road, East Lake High-tech Development Zone, Wuhan, Hubei, 430000, The People’s Republic of China.</w:t>
      </w:r>
    </w:p>
    <w:p>
      <w:pPr>
        <w:spacing w:after="0" w:line="43" w:lineRule="exact"/>
        <w:rPr>
          <w:sz w:val="20"/>
          <w:szCs w:val="20"/>
          <w:color w:val="auto"/>
        </w:rPr>
      </w:pPr>
    </w:p>
    <w:p>
      <w:pPr>
        <w:ind w:left="1620" w:hanging="360"/>
        <w:spacing w:after="0"/>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Beneficially owns less than 1% of our outstanding shares.</w:t>
      </w:r>
    </w:p>
    <w:p>
      <w:pPr>
        <w:spacing w:after="0" w:line="96" w:lineRule="exact"/>
        <w:rPr>
          <w:sz w:val="20"/>
          <w:szCs w:val="20"/>
          <w:color w:val="auto"/>
        </w:rPr>
      </w:pPr>
    </w:p>
    <w:p>
      <w:pPr>
        <w:ind w:left="1620" w:right="479" w:hanging="360"/>
        <w:spacing w:after="0" w:line="287" w:lineRule="auto"/>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table, percentage ownership is calculated by dividing the number of shares beneficially owned by such person or group by the sum of (i) the total number of ordinary shares outstanding and (ii) the number of ordinary shares that such person or group has the right to acquire upon exercise of options or other right within 60 days after the date of this prospectus.</w:t>
      </w:r>
    </w:p>
    <w:p>
      <w:pPr>
        <w:spacing w:after="0" w:line="205" w:lineRule="exact"/>
        <w:rPr>
          <w:rFonts w:ascii="Times New Roman" w:cs="Times New Roman" w:eastAsia="Times New Roman" w:hAnsi="Times New Roman"/>
          <w:sz w:val="14"/>
          <w:szCs w:val="14"/>
          <w:color w:val="auto"/>
        </w:rPr>
      </w:pPr>
    </w:p>
    <w:p>
      <w:pPr>
        <w:ind w:left="1620" w:right="659" w:hanging="360"/>
        <w:spacing w:after="0" w:line="322" w:lineRule="auto"/>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is calculated by dividing the voting power beneficially owned by such person or group by the voting power of all of our ordinary shares as a single class.</w:t>
      </w:r>
    </w:p>
    <w:p>
      <w:pPr>
        <w:ind w:left="1620" w:right="479" w:hanging="360"/>
        <w:spacing w:after="0" w:line="281"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15,278,950 Ordinary Shares directly held by Seventh Hokage Management Limited (formerly known as Mario Ho Holdings Limited), a limited liability company established in the British Virgin Islands. Seventh Hokage Management Limited is wholly owned by Mr. Mario Yau Kwan Ho. The registered address of Seventh Hokage Management Limited is Start Chambers, Wickham’s Cay II, P.O. Box 2221, Road Town, Tortola, British Virgin Islands.</w:t>
      </w:r>
    </w:p>
    <w:p>
      <w:pPr>
        <w:spacing w:after="0" w:line="42" w:lineRule="exact"/>
        <w:rPr>
          <w:rFonts w:ascii="Times New Roman" w:cs="Times New Roman" w:eastAsia="Times New Roman" w:hAnsi="Times New Roman"/>
          <w:sz w:val="14"/>
          <w:szCs w:val="14"/>
          <w:color w:val="auto"/>
        </w:rPr>
      </w:pPr>
    </w:p>
    <w:p>
      <w:pPr>
        <w:ind w:left="1620" w:right="559" w:hanging="360"/>
        <w:spacing w:after="0" w:line="302"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13,362,381 Class B-1 Preferred Shares directly held by Diglife AS, a company registered under the laws of Norway and is 95.61% owned by Mr. Hicham Chahine. The registered address of Diglife AS is Tors gate 2B, 0260 Oslo, Norway.</w:t>
      </w:r>
    </w:p>
    <w:p>
      <w:pPr>
        <w:spacing w:after="0" w:line="26" w:lineRule="exact"/>
        <w:rPr>
          <w:rFonts w:ascii="Times New Roman" w:cs="Times New Roman" w:eastAsia="Times New Roman" w:hAnsi="Times New Roman"/>
          <w:sz w:val="14"/>
          <w:szCs w:val="14"/>
          <w:color w:val="auto"/>
        </w:rPr>
      </w:pPr>
    </w:p>
    <w:p>
      <w:pPr>
        <w:ind w:left="1620" w:right="579" w:hanging="360"/>
        <w:spacing w:after="0" w:line="292"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9,362,987 Ordinary Shares directly held by xiaOt Sun Holdings Limited, a limited liability company established in the British Virgin Islands. xiaOt Sun Holdings Limited is wholly owned by Mr. Liwei Sun. The registered address of xiaOt Sun Holdings Limited is Start Chambers, Wickham’s Cay II, P.O. Box 2221, Road Town, Tortola, British Virgin Islands.</w:t>
      </w:r>
    </w:p>
    <w:p>
      <w:pPr>
        <w:spacing w:after="0" w:line="1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1,104,590 ordinary shares issued pursuant to options that are held by Mr. Heng Tang.</w:t>
      </w:r>
    </w:p>
    <w:p>
      <w:pPr>
        <w:spacing w:after="0" w:line="95" w:lineRule="exact"/>
        <w:rPr>
          <w:rFonts w:ascii="Times New Roman" w:cs="Times New Roman" w:eastAsia="Times New Roman" w:hAnsi="Times New Roman"/>
          <w:sz w:val="14"/>
          <w:szCs w:val="14"/>
          <w:color w:val="auto"/>
        </w:rPr>
      </w:pPr>
    </w:p>
    <w:p>
      <w:pPr>
        <w:ind w:left="1620" w:right="639" w:hanging="360"/>
        <w:spacing w:after="0" w:line="295"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13,086,142 Class B-1 Preferred Shares directly held by Nyx Ventures AS, a company registered under the laws of Norway and wholly owned by Mr. Thomas Neslein. The registered address of Nyx Ventures AS is Olav Vs Gate 5, 0161 Oslo, Norway.</w:t>
      </w:r>
    </w:p>
    <w:p>
      <w:pPr>
        <w:spacing w:after="0" w:line="211" w:lineRule="exact"/>
        <w:rPr>
          <w:rFonts w:ascii="Times New Roman" w:cs="Times New Roman" w:eastAsia="Times New Roman" w:hAnsi="Times New Roman"/>
          <w:sz w:val="14"/>
          <w:szCs w:val="14"/>
          <w:color w:val="auto"/>
        </w:rPr>
      </w:pPr>
    </w:p>
    <w:p>
      <w:pPr>
        <w:ind w:left="1620" w:right="539" w:hanging="360"/>
        <w:spacing w:after="0" w:line="292"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12,268,258 Class B-1 Preferred Shares held by Tolsona Ltd., a company incorporated in the Republic of Cyprus. Tolsona Ltd. is wholly owned by Mr. Felix Granander. The registered address of Tolsona Ltd. is Naxou, 4, 1st Floor, Flat/Office 101, 1070, Nicosia, the Republic of Cyprus.</w:t>
      </w:r>
    </w:p>
    <w:p>
      <w:pPr>
        <w:spacing w:after="0" w:line="19" w:lineRule="exact"/>
        <w:rPr>
          <w:rFonts w:ascii="Times New Roman" w:cs="Times New Roman" w:eastAsia="Times New Roman" w:hAnsi="Times New Roman"/>
          <w:sz w:val="14"/>
          <w:szCs w:val="14"/>
          <w:color w:val="auto"/>
        </w:rPr>
      </w:pPr>
    </w:p>
    <w:p>
      <w:pPr>
        <w:ind w:left="1620" w:right="439" w:hanging="360"/>
        <w:spacing w:after="0" w:line="292"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1,484,949 Ordinary Shares directly held by Danny Yu Holdings Limited, a limited liability company established in the British Virgin Islands. Danny Yu Holdings Limited is wholly owned by Mr. Haoming Yu. The registered address of Danny Yu Holdings Limited is Start Chambers, Wickham’s Cay II, P.O. Box 2221, Road Town, Tortola, British Virgin Islands.</w:t>
      </w:r>
    </w:p>
    <w:p>
      <w:pPr>
        <w:spacing w:after="0" w:line="33" w:lineRule="exact"/>
        <w:rPr>
          <w:rFonts w:ascii="Times New Roman" w:cs="Times New Roman" w:eastAsia="Times New Roman" w:hAnsi="Times New Roman"/>
          <w:sz w:val="14"/>
          <w:szCs w:val="14"/>
          <w:color w:val="auto"/>
        </w:rPr>
      </w:pPr>
    </w:p>
    <w:p>
      <w:pPr>
        <w:ind w:left="1620" w:right="459" w:hanging="360"/>
        <w:spacing w:after="0" w:line="268" w:lineRule="auto"/>
        <w:tabs>
          <w:tab w:leader="none" w:pos="16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9,101,851 Class A preferred shares held by Shanghai Yuyun Management Partnership (Limited Partnership), a PRC limited partnership. The general partner of Shanghai Yuyun Management Partnership (Limited Partnership) is Wuhan Donghu Lvxin Garden Co. Ltd., a company wholly owned by Wuhan Jinlv Construction Investment (Group) Co. Ltd., which is directly wholly owned by Wuhan Tourism and Sports Group. Wuhan Tourism and Sports Group is indirectly wholly owned by the Wuhan State-owned Assets Supervision and Administration Commission, or Wuhan SASAC, a sub-department of Wuhan municipal government. The business address of Shanghai Yuyun Enterprise Management Limited Partnership is Room 368, Part 302,</w:t>
      </w:r>
    </w:p>
    <w:p>
      <w:pPr>
        <w:spacing w:after="0" w:line="1"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211 North Fute Road, China (Shanghai) Pilot Free Trade Zone, Shanghai City, PRC.</w:t>
      </w:r>
    </w:p>
    <w:p>
      <w:pPr>
        <w:spacing w:after="0" w:line="15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no ordinary shares or preferred shares held by record holders in the United States.</w:t>
      </w:r>
    </w:p>
    <w:p>
      <w:pPr>
        <w:spacing w:after="0" w:line="8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Arrangements with Wuhan ESVF and Its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 — Shareholders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Share Incentive Plan.”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Mario Yau Kwan Ho</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In 2022, we recorded collection of loan of US$297,221 to Mr. Ho. In 2023, we recorded repayment of reality show services provided by Mr. Ho of US$667,994 and reality show service provided by Mr. Ho of US$146,822. We had amounts due to Mr. Ho of US$685,786 and US$146,429 as of December 31, 2022 and 2023, respectively.</w:t>
      </w:r>
    </w:p>
    <w:p>
      <w:pPr>
        <w:spacing w:after="0" w:line="99"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Tianjin Mingren Enterprise Management Partnership (Limited Partnership), or Tianjin Mingren, is an entity ultimately controlled by Mr. Ho. We had amounts due from Tianjin Mingren of US$141 as of December 31,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Hicham Chahine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had amounts due to Mr. Chahine of US$4,035 as of December 31, 2023.</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Liwei Sun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2022, we recorded collection of loan of US$113,721 to Mr. Sun. In 2023, we recorded loan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Sun of US$49,429 and collection of loan to Mr. Sun of US$49,429. We had amounts due from Mr. Sun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US$38,258 and US$37,165 as of December 31, 2022 and 2023, respectively.</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Wuhan Xingjing Culture Media Co., Ltd., or Xingjing Culture Media, is an entity controlled by</w:t>
      </w:r>
    </w:p>
    <w:p>
      <w:pPr>
        <w:spacing w:after="0" w:line="27"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Mr. Sun. In 2022, we recorded US$6.7 million of loan from Xingjing Culture Media and loan repayment of US$9.9 million to Xingjing Culture Media. In 2023, we recorded US$282,507 of loan from Xingjing Culture Media and loan repayment of US$3.6 million to Xingjing Culture Media. We had amounts due to Xingjing Culture Media of US$3.5 million and US$88,650 as December 31, 2022 and 2023, respectively.</w:t>
      </w:r>
    </w:p>
    <w:p>
      <w:pPr>
        <w:spacing w:after="0" w:line="12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Hainan Xingjing Technology Center LLP, or Hainan Xingjing, is an entity controlled by Mr. Sun. In 2022, we recorded collection of loan of US$53,500 to Hainan Xingjing. As of December 31, 2022, and 2023, we had no outstanding due from Hainan Xinjiang.</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Tianjin Xingjingweiwu Management Consulting LLP, or Tianjin LLP, is an entity controlled by Mr. Sun. In 2022, we recorded loan to Tianjin LLP in the amount of US$149. We also had amounts due from Tianjin LLP of US$289 and US$282 as of December 31, 2022 and 2023,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Rui Zhou</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2022, we recorded reimbursement for operating expenses of US$167,221. As of December 31, 2022, and 2023, we had no outstanding due to Ms. Zhou.</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Wuhan Tourism and Sports Group</w:t>
      </w:r>
    </w:p>
    <w:p>
      <w:pPr>
        <w:spacing w:after="0" w:line="16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2022, we provided sponsorships and advertising services to Wuhan Tourism and Sports Group of US$700,993. In 2023, we provided sponsorships and advertising services to Wuhan Tourism and Sports Group of US$666,156. We had amounts due to Wuhan Tourism and Sports Group of US$1.3 million and US$609,009 as of December 31, 2022 and 2023, respectively.</w:t>
      </w:r>
    </w:p>
    <w:p>
      <w:pPr>
        <w:spacing w:after="0" w:line="11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Wuhan Linyu Ecological Group Co., Ltd., or Wuhan Linyu, is a company indirectly wholly owned by Wuhan Tourism and Sports Group. In 2022, we purchased landscaping services of US$3,812 from Wuhan Linyu and recorded interest expenses of US$416,517 paid to Wuhan Linyu. In 2023, we purchased landscaping services of US$6,758 from Wuhan Linyu and made the repayment of services provided by Wuhan Linyu of US$8,106. We had amounts due to Wuhan Linyu of US$1,383 and nil as of December 31, 2022 and 2023, respectively.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Douyu Internet Technology Co., Ltd.</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Wuhan Ouyue Online TV Co., Ltd., or Wuhan Ouyue, is an entity controlled by Douyu. In 2022, we provided talent management services to Wuhan Ouyue for US$33.7 million. Through the reassessment of the dilution of equity interest after acquisition of Ninjas in Pyjamas on January 10, 2023, Douyu and Wuhan Ouyue are no longer accounted as our related party. We had amounts due from Wuhan Ouyue of US$1.1 million as of December 31, 2022.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Haoming Yu</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2022, we recorded loan of US$445,831 from Mr. Yu, repayment of loan of US$891,663 from Mr. Yu,</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advance for our operations of US$609,637 to Mr. Yu, and reimbursement for operating expense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US$624,833. As of December 31, 2022, and 2023, we had no outstanding amounts due to or from Mr. Yu.</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Ronghua Gu</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2022, we recorded advance for our operations of US$1.9 million to Mr. Gu, reimbursement for operating expense of US$2.2 million in connection with our general business operations, loan from Mr. Gu of US$445,831, and repayment of loan of US$891,663 from Mr. Gu. As of December 31, 2022, and 2023, we had no outstanding amounts due to or from Mr. Gu.</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Shenzhen Media Group</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provided sponsorships and advertising services to Shenzhen Media Group, an affiliate of Shenzhen Media Group (International Limited) which is one of our shareholders, in exchange for the use of stadium and dormitories owned by Shenzhen Media Group. In 2022, we provided sponsorships and advertising services to Shenzhen Media Group of US$445,831, and recorded rental expenses of US$641,997, government subsidies that should be distributed to Shenzhen Media of US$445,831, and repayment of capital injection of US$1.5 million. We also purchased event production services from Shenzhen Media of US$15,307 in 2022. In 2023, we provided sponsorships and advertising services to Shenzhen Media Group of US$423,675, and recorded rental expenses of US$610,092 and government subsidies that should be distributed to Shenzhen Media of US$423,675. We also purchased event production services from Shenzhen Media of US$14,687, and recorded repayment of government subsidies distributed to Shenzhen Media Group of US$282,450. We had amounts due to Shenzhen Media Group of US$290,321 and US$422,540 as of December 31, 2022 and 2023, respectively.</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Shenzhen Xingjing Weiwu Education Technology Co., Ltd.</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2023, we provided loan to Shenzhen Xingjing Weiwu Education Technology Co., Ltd., or Shenzhen Xingjing Weiwu Education, an entity in which we have a minority equity interest, of US$152,304. In the same year, we also provided event production services to Shenzhen Xingjing Weiwu Education of US$75,988. We had amounts due from Shenzhen Xingjing Weiwu Education of US$232,229 as of December 31, 2023, and amounts due to Shenzhen Xingjing Weiwu Education of US$131,017.</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p>
    <w:p>
      <w:pPr>
        <w:spacing w:after="0" w:line="17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as amended from time to time, and the Companies Act (As Revised) of the Cayman Islands, which we refer to as the Companies Act below, and the common law of the Cayman Islands.</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500,000,000 shares consist of (i) 429,552,072 ordinary shares, with par value of US$0.0001 each; and (ii) 24,709,527 Class A Preferred Shares, with par value of US$0.0001 each; (iii) 2,693,877 Class B Preferred Shares, with par value of US$0.0001 each; and (iv) 43,044,524 Class B-1 Preferred Shares, with par value of US$0.0001 each. Among our issued shares, 4,121,883 Class A Preferred Shares are not fully paid.</w:t>
      </w:r>
    </w:p>
    <w:p>
      <w:pPr>
        <w:spacing w:after="0" w:line="10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our authorized share capital will be changed into US$                  divided into                      shares comprising of (i)                     ordinary shares of a par value of US$                  each, and (ii)                      shares of a par value of US$            each of such class or classes (however designated) as the board of directors may determine in accordance with our post-offering memorandum and articles of association. Immediately prior to the completion of this offering, we will have                   ordinary shares issued and outstanding, assuming the underwriters do not exercise the option to purchase additional ADSs. All of our shares issued and outstanding prior to the completion of the offering are and will be fully paid, and all of our shares to be issued in the offering will be issued as fully paid.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Post-Offering Memorandum and Articles of Association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shareholders have conditionally adopted an eighth amended and restated memorandum and articles of association, which will become effective and replace our current seventh amended and restated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14"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memorandum and articles of association,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objects of our company are unrestricted and we have the full power and authority to carry out any object not prohibited by the Cayman Islands law.</w:t>
      </w:r>
    </w:p>
    <w:p>
      <w:pPr>
        <w:spacing w:after="0" w:line="92"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issued in registered form and are issued when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register of members (shareholders). We may not issue shares to bearer. Our shareholders who are nonresidents of the Cayman Islands may freely hold and vote their shares.</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declared by our shareholders by ordinary resolution (provided that no dividend may be declared by our shareholders which exceeds the amount recommended by our directors). Our post-offering memorandum and articles of association provide that dividends may be declared and paid out of our profits, realized or unrealized, or from any reserve set aside from profits which our board of directors determine is no longer needed.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17" w:lineRule="exact"/>
        <w:rPr>
          <w:sz w:val="20"/>
          <w:szCs w:val="20"/>
          <w:color w:val="auto"/>
        </w:rPr>
      </w:pPr>
    </w:p>
    <w:p>
      <w:pPr>
        <w:ind w:left="1260" w:right="4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Voting at any meeting of shareholders is by show of hands unless a poll is demanded.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 may be demanded by the chairman of such meeting or any one shareholder present in person or by proxy.</w:t>
      </w:r>
    </w:p>
    <w:p>
      <w:pPr>
        <w:spacing w:after="0" w:line="30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post-offering memorandum and articles of association. Our shareholders may, among other things, divide or combine their shares by ordinary resolution.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to call shareholders’ 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18"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general meeting.</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0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post-offering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as set out below, any of our shareholders may transfer all or any of his or her ordinary shares by an instrument of transfer in the usual or common form or any other form approved by our board of directors.</w:t>
      </w:r>
    </w:p>
    <w:p>
      <w:pPr>
        <w:spacing w:after="0" w:line="11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81" w:lineRule="exact"/>
        <w:rPr>
          <w:sz w:val="20"/>
          <w:szCs w:val="20"/>
          <w:color w:val="auto"/>
        </w:rPr>
      </w:pPr>
    </w:p>
    <w:p>
      <w:pPr>
        <w:jc w:val="both"/>
        <w:ind w:left="1800" w:right="43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4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9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81"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559"/>
        <w:spacing w:after="0" w:line="250" w:lineRule="auto"/>
        <w:rPr>
          <w:sz w:val="20"/>
          <w:szCs w:val="20"/>
          <w:color w:val="auto"/>
        </w:rPr>
      </w:pPr>
      <w:r>
        <w:rPr>
          <w:rFonts w:ascii="Times New Roman" w:cs="Times New Roman" w:eastAsia="Times New Roman" w:hAnsi="Times New Roman"/>
          <w:sz w:val="18"/>
          <w:szCs w:val="18"/>
          <w:color w:val="auto"/>
        </w:rPr>
        <w:t>If our assets available for distribution are insufficient to repay all of the paid-up capital, the assets will be distributed so that the losses are borne by our shareholders in proportion to the par value of the shares held by them.</w:t>
      </w:r>
    </w:p>
    <w:p>
      <w:pPr>
        <w:spacing w:after="0" w:line="94"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for any amounts unpaid on their shares in a notice served to such shareholders at least</w:t>
      </w:r>
    </w:p>
    <w:p>
      <w:pPr>
        <w:spacing w:after="0" w:line="1"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14 days prior to the specified time and place of payment. The shares that have been called upon and remain unpaid are subject to forfeiture.</w:t>
      </w:r>
    </w:p>
    <w:p>
      <w:pPr>
        <w:spacing w:after="0" w:line="99"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3" w:lineRule="exact"/>
        <w:rPr>
          <w:sz w:val="20"/>
          <w:szCs w:val="20"/>
          <w:color w:val="auto"/>
        </w:rPr>
      </w:pPr>
    </w:p>
    <w:p>
      <w:pPr>
        <w:ind w:left="1260" w:right="479" w:firstLine="360"/>
        <w:spacing w:after="0" w:line="233"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shares, the rights attached to any class or series of shares (unless otherwise provided by the terms of issue of the shares of that class or series), whether or not our company is being wound -up, may be varied with the consent in writing of [all]/[a majority of]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20" w:lineRule="exact"/>
        <w:rPr>
          <w:sz w:val="20"/>
          <w:szCs w:val="20"/>
          <w:color w:val="auto"/>
        </w:rPr>
      </w:pPr>
    </w:p>
    <w:p>
      <w:pPr>
        <w:jc w:val="both"/>
        <w:ind w:left="1260" w:right="6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post-offering memorandum and articles of association authorize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issue additional ordinary shares from time to time as our board of directors shall determine, to the extent of available authorized but unissued shares.</w:t>
      </w:r>
    </w:p>
    <w:p>
      <w:pPr>
        <w:spacing w:after="0" w:line="10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Our post- offering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55" w:lineRule="exact"/>
        <w:rPr>
          <w:sz w:val="20"/>
          <w:szCs w:val="20"/>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07"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to inspect or obtain copies of our list of shareholders or our corporate records. However, we will provide our shareholders with annual audited financial statements. See “Where You Can Find Additional Information.”</w:t>
      </w:r>
    </w:p>
    <w:p>
      <w:pPr>
        <w:spacing w:after="0" w:line="104" w:lineRule="exact"/>
        <w:rPr>
          <w:sz w:val="20"/>
          <w:szCs w:val="20"/>
          <w:color w:val="auto"/>
        </w:rPr>
      </w:pPr>
    </w:p>
    <w:p>
      <w:pPr>
        <w:ind w:left="1260" w:right="9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may discourage, delay or prevent a change of control of our company or management that shareholders may consider favorable, including provisions that:</w:t>
      </w:r>
    </w:p>
    <w:p>
      <w:pPr>
        <w:spacing w:after="0" w:line="75" w:lineRule="exact"/>
        <w:rPr>
          <w:sz w:val="20"/>
          <w:szCs w:val="20"/>
          <w:color w:val="auto"/>
        </w:rPr>
      </w:pPr>
    </w:p>
    <w:p>
      <w:pPr>
        <w:ind w:left="1800" w:right="5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limit the ability of shareholders to requisition and convene general meetings of shareholders.</w:t>
      </w:r>
    </w:p>
    <w:p>
      <w:pPr>
        <w:spacing w:after="0" w:line="15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7" w:lineRule="exact"/>
        <w:rPr>
          <w:sz w:val="20"/>
          <w:szCs w:val="20"/>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Companies Act (as revised) of the Cayman Islands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3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64" w:lineRule="exact"/>
        <w:rPr>
          <w:sz w:val="20"/>
          <w:szCs w:val="20"/>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76"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4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6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73" w:lineRule="exact"/>
        <w:rPr>
          <w:sz w:val="20"/>
          <w:szCs w:val="20"/>
          <w:color w:val="auto"/>
        </w:rPr>
      </w:pPr>
    </w:p>
    <w:p>
      <w:pPr>
        <w:ind w:left="1800" w:right="45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4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 Under the Delaware General Corporation Law, a shareholder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holding shares which carry in aggregate not less than one-tenth of the total number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 -offering memorandum and articles of association do not provide for cumulative voting.] As a result, our shareholders are not afforded any less protections or rights on this issue than shareholders of a Delaware corporation.</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classified board may be removed only for cause with the approval of a majority of the issued and outstanding shares entitled to vote, unless the certificate of incorporation provides otherwise. [Under our post-offering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33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rights of a class of shares with the approval of a majority of the outstanding shares of such class, unless the certificate of incorporation provides otherwise. [Under our post-offering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all of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3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16"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post-offering memorandum and articles of association 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securities issuances since the incorporation of our holding company in February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February 5, 2021, we issued (i) one ordinary share to Osiris International Cayman Limited, which was transferred to xiaOt Sun Holdings Limited on the same date, (ii) 10,274,549 ordinary shares to xiaOt Sun Holdings Limited, (iii) 1,934,570 ordinary shares to Ayisia Zhou Holdings Limited, and (iv) 679,140 ordinary shares to RayZ Holdings Limited.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On March 18, 2021, we issued (i) 15,816,680 ordinary shares to Seventh Hokage Management Limited (formerly known as Mario Ho Holdings Limited).</w:t>
      </w:r>
    </w:p>
    <w:p>
      <w:pPr>
        <w:spacing w:after="0" w:line="82"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color w:val="auto"/>
        </w:rPr>
        <w:t>On June 29, 2021, our shareholders underwent a series of transactions to delineate the shareholding structure. To this end, we repurchased 1,420,362 ordinary shares from xiaOt Sun Holdings Limited,</w:t>
      </w:r>
    </w:p>
    <w:p>
      <w:pPr>
        <w:spacing w:after="0" w:line="2" w:lineRule="exact"/>
        <w:rPr>
          <w:sz w:val="20"/>
          <w:szCs w:val="20"/>
          <w:color w:val="auto"/>
        </w:rPr>
      </w:pPr>
    </w:p>
    <w:p>
      <w:pPr>
        <w:jc w:val="both"/>
        <w:ind w:left="1260" w:right="439"/>
        <w:spacing w:after="0" w:line="271" w:lineRule="auto"/>
        <w:rPr>
          <w:sz w:val="20"/>
          <w:szCs w:val="20"/>
          <w:color w:val="auto"/>
        </w:rPr>
      </w:pPr>
      <w:r>
        <w:rPr>
          <w:rFonts w:ascii="Times New Roman" w:cs="Times New Roman" w:eastAsia="Times New Roman" w:hAnsi="Times New Roman"/>
          <w:sz w:val="18"/>
          <w:szCs w:val="18"/>
          <w:color w:val="auto"/>
        </w:rPr>
        <w:t>and 202,698 ordinary shares from Seventh Hokage Management Limited for nominal consideration. On the same date, we issued 278,974 ordinary shares and 148,545 ordinary shares to Ayisia Zhou Holdings Limited and RayZ Holdings Limited, respectively.</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30, 2021, we issued 4,123,826 ordinary shares to Blooming Time International Limited.</w:t>
      </w:r>
    </w:p>
    <w:p>
      <w:pPr>
        <w:spacing w:after="0" w:line="158" w:lineRule="exact"/>
        <w:rPr>
          <w:sz w:val="20"/>
          <w:szCs w:val="20"/>
          <w:color w:val="auto"/>
        </w:rPr>
      </w:pPr>
    </w:p>
    <w:p>
      <w:pPr>
        <w:jc w:val="both"/>
        <w:ind w:left="1260" w:right="739" w:firstLine="360"/>
        <w:spacing w:after="0" w:line="274" w:lineRule="auto"/>
        <w:rPr>
          <w:sz w:val="20"/>
          <w:szCs w:val="20"/>
          <w:color w:val="auto"/>
        </w:rPr>
      </w:pPr>
      <w:r>
        <w:rPr>
          <w:rFonts w:ascii="Times New Roman" w:cs="Times New Roman" w:eastAsia="Times New Roman" w:hAnsi="Times New Roman"/>
          <w:sz w:val="18"/>
          <w:szCs w:val="18"/>
          <w:color w:val="auto"/>
        </w:rPr>
        <w:t>On September 30, 2021, Seventh Hokage Management Limited surrendered 1,165,314 shares to the Company, and we issued the same number of ordinary shares to SIG China Investments Master Fund IV, LLLP.</w:t>
      </w:r>
    </w:p>
    <w:p>
      <w:pPr>
        <w:spacing w:after="0" w:line="115"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On March 18, 2022, we issued (i) 1,404,255 ordinary shares to Danny Yu Holdings Limited, and (ii) 2,106,383 ordinary shares to Oscar Gu Holdings Limited.</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the Restructuring, on June 30, 2023, we issued (i) 508,799 ordinary shares to xiaOt Sun Holdings Limited, (ii) 830,282 ordinary shares to Seventh Hokage Management Limited, (iii) 127,200 ordinary shares to Ayisia Zhou Holdings Limited, (iv) 47,562 ordinary shares to RayZ Holdings Limited, (v) 236,973 ordinary shares to Blooming Time International Limited, (vi) 66,964 ordinary shares to SIG China Investments Master Fund IV, LLLP, (vii) 80,694 ordinary shares to Danny Yu Holdings Limited, and (viii) 121,042 ordinary shares to Oscar Gu Holdings Limited, for an aggregated consideration of RMB1,347,705.4.</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A Preferred Shares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As part of our reorganization, the original shareholders of Wuhan ESVF (together with their affiliates, “original shareholders”) pledged their equity interests in Wuhan ESVF to Wuhan Muyecun and subscribed for ordinary shares of the Company in proportion to their respective interests in Wuhan ESVF prior to the reorganization. As a result, on July 30, 2021, we issued Class A Preferred Shares to certain original shareholders including (i) 8,607,242 Class A Preferred Shares to Shanghai Yuyun Management Partnership (Limited Partnership), (ii) 2,986,308 Class A Preferred Shares to Douyu Investment Limited, (iii) 2,819,639 Class A Preferred Shares to Shenzhen Guojin Angel Venture Investment III Partnership (Limited Partnership) (iv) 2,819,639 Class A Preferred Shares to Glorious Year Holdings Limited, (v) 1,530,175 Class A Preferred Shares to True Thrive Limited, (vi) 1,409,873 Class A Preferred Shares to Shanghai Chuyuan Enterprise Management Partnership (Limited Partnership), (vii) 956,354 Class A Preferred Shares to Jiaxing ZhenFund Tianyu Equity Investment Partnership (Limited Partnership), (viii) 827,685 Class A Preferred Shares to Top Lead Ventures Limited, and (ix) 704,930 Class A Preferred Shares to Jiangxi Everbright Industry Co., Ltd., for an aggregated consideration of RMB208,000,000.</w:t>
      </w:r>
    </w:p>
    <w:p>
      <w:pPr>
        <w:spacing w:after="0" w:line="116" w:lineRule="exact"/>
        <w:rPr>
          <w:sz w:val="20"/>
          <w:szCs w:val="20"/>
          <w:color w:val="auto"/>
        </w:rPr>
      </w:pPr>
    </w:p>
    <w:p>
      <w:pPr>
        <w:ind w:left="1260" w:right="1019" w:firstLine="360"/>
        <w:spacing w:after="0" w:line="297" w:lineRule="auto"/>
        <w:rPr>
          <w:sz w:val="20"/>
          <w:szCs w:val="20"/>
          <w:color w:val="auto"/>
        </w:rPr>
      </w:pPr>
      <w:r>
        <w:rPr>
          <w:rFonts w:ascii="Times New Roman" w:cs="Times New Roman" w:eastAsia="Times New Roman" w:hAnsi="Times New Roman"/>
          <w:sz w:val="18"/>
          <w:szCs w:val="18"/>
          <w:color w:val="auto"/>
        </w:rPr>
        <w:t>On September 30, 2021, we issued 704,930 Class A Preferred Shares to Shenzhen Media Group (International) Limited for a consideration of US$ equivalent to RMB10,000,000.</w:t>
      </w:r>
    </w:p>
    <w:p>
      <w:pPr>
        <w:spacing w:after="0" w:line="8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Following the Restructuring, on June 30, 2023, we issued (i) 494,609 Class A Preferred Shares to Shanghai Yuyun Management Partnership (Limited Partnership), (ii) 171,606 Class A Preferred Shares to Douyu Investment Limited, (iii) 162,028 Class A Preferred Shares to Shenzhen Guojin Angel Venture Investment III Partnership (Limited Partnership), (iv) 2,981,667 Class A Preferred Shares to Wuhan Rongzhu Information Technology Service Co., Ltd, (v) 87,930 Class A Preferred Shares to True Thrive Limited, (vi) 81,017 Class A Preferred Shares to Shanghai Chuyuan Enterprise Management Partnership (Limited Partnership), (vii) 54,956 Class A Preferred Shares to Jiaxing ZhenFund Tianyu Equity Investment Partnership (Limited Partnership), (viii) 47,562 Class A Preferred Shares to Top Lead Ventures Limited, (ix) 40,508 Class A Preferred Shares to Jiangxi Everbright Industry Co., Ltd., and (x) 40,508 Class A Preferred Shares to Shenzhen Media Group (International) Limited, for an aggregated consideration of RMB120,475,355.79.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B Preferred Shares</w:t>
      </w:r>
    </w:p>
    <w:p>
      <w:pPr>
        <w:spacing w:after="0" w:line="16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On September 5, 2022, we issued 1,625,295 Class B Preferred Shares to Digital WD., Ltd. for a consideration of US$10,000,000.</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20, 2022, we issued (i) 487,589 Class B Preferred Shares to AER Capital SPC, and</w:t>
      </w:r>
    </w:p>
    <w:p>
      <w:pPr>
        <w:spacing w:after="0" w:line="27" w:lineRule="exact"/>
        <w:rPr>
          <w:sz w:val="20"/>
          <w:szCs w:val="20"/>
          <w:color w:val="auto"/>
        </w:rPr>
      </w:pPr>
    </w:p>
    <w:p>
      <w:pPr>
        <w:ind w:left="1260" w:right="1379"/>
        <w:spacing w:after="0" w:line="260" w:lineRule="auto"/>
        <w:tabs>
          <w:tab w:leader="none" w:pos="15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434,604 Class B Preferred Shares to Maison Investment Holding Limited, for an aggregated consideration of US$5,674,000.</w:t>
      </w:r>
    </w:p>
    <w:p>
      <w:pPr>
        <w:spacing w:after="0" w:line="10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the Restructuring, on June 30, 2023, we issued (i) 93,396 Class B Preferred Shares to Digital WD., Ltd., (ii) 24,974 Class B Preferred Shares to Maison Investment Holding Limited, and (iii) 28,019 Class B Preferred Shares to AER Capital SPC.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B-1 Preferred Shares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January 10, 2023, we issued (i) 12,636,248 Class B-1 Preferred Shares to Diglife AS, (ii) 11,601,582 Class B-1 Preferred Shares to Tolsona Ltd, (iii) 12,375,021 Class B-1 Preferred Shares to NYX Ventures AS, (iv) 822,099 Class B-1 Preferred Shares to Get Right Sweden AB, (v) 2,906,798 Class B-1 Preferred Shares to Shinobi Holdings Limited, and (vi) 363,670 Class B-1 Preferred Shares to Datakrigaren Ventures ApS, in exchange for their respective equity interests in Ninjas in Pyjamas.</w:t>
      </w:r>
    </w:p>
    <w:p>
      <w:pPr>
        <w:spacing w:after="0" w:line="11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Following the Restructuring, on June 30, 2023, we issued (i) 726,133 Class B-1 Preferred Shares to Diglife AS, (ii) 666,676 Class B-1 Preferred Shares to Tolsona Ltd, (iii) 711,121 Class B-1 Preferred Shares to NYX Ventures AS, (iv) 47,241 Class B-1 Preferred Shares to Get Right Sweden AB, (v) 167,037 Class B-1 Preferred Shares to Shinobi Holdings Limited, and (vi)20,898 Class B-1 Preferred Shares to Datakrigaren Ventures ApS.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148"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We entered into our fifth amended and restated shareholders agreement on June 30, 2023 with our shareholders, which consist of holders of ordinary shares and preferred shares. The fifth amended and restated shareholders agreement provides for certain shareholders’ rights, including registration rights, information, inspection and observer rights, rights of first refusal and co-sale rights, and voting rights and contains provisions governing our board of directors and other corporate governance matters. The special rights other than registration rights will automatically terminate upon the completion of our initial public offering.</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have granted certain registration rights to our shareholders. Set forth below is a description of the registration rights granted under the shareholders agreement.</w:t>
      </w:r>
    </w:p>
    <w:p>
      <w:pPr>
        <w:spacing w:after="0" w:line="9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We shall notify all holders of our registrable securities in writing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thirty (30) days prior to filing of any registration statement under the Securities Act for purposes of effecting a public offering of securities of the Company (including registration statement relating to secondary offerings of our securities, but excluding registration on Form F-3 or Form S-3, or to any employee benefit plan or a corporate reorganization) and the holders may deliver their written request to include in any such registration statement all or any part of the registrable securities held by it within ten</w:t>
      </w:r>
    </w:p>
    <w:p>
      <w:pPr>
        <w:spacing w:after="0" w:line="2" w:lineRule="exact"/>
        <w:rPr>
          <w:sz w:val="20"/>
          <w:szCs w:val="20"/>
          <w:color w:val="auto"/>
        </w:rPr>
      </w:pPr>
    </w:p>
    <w:p>
      <w:pPr>
        <w:ind w:left="1260" w:right="439"/>
        <w:spacing w:after="0" w:line="251" w:lineRule="auto"/>
        <w:tabs>
          <w:tab w:leader="none" w:pos="162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receiving our notice. If the offering involves an underwriting of our registrable securities and the managing underwriter(s) determine(s) in good faith that marketing factors require a limitation of the number of the registrable securities to be underwritten, the managing underwriter(s) may exclude shares from the registration and the underwriting, and the number of shares that may be included in the registration and the underwriting shall be allocated, first to us, and second, to each of the holders requesting inclusion of their registerable securities on a pro-rata basis based on the total number of registrable securities then held by each such holder, provided that (i) the number of registrable securities included is not reduced below twenty-five percent (25%) of the aggregate number of registrable securities for which inclusion has been requested, and (ii) all shares that are not registrable securities and are held by any other person shall first be excluded from such registration and underwriting before any registrable securities are so excluded.</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Registration on Form F-3 or Form S-3. </w:t>
      </w:r>
      <w:r>
        <w:rPr>
          <w:rFonts w:ascii="Times New Roman" w:cs="Times New Roman" w:eastAsia="Times New Roman" w:hAnsi="Times New Roman"/>
          <w:sz w:val="18"/>
          <w:szCs w:val="18"/>
          <w:color w:val="auto"/>
        </w:rPr>
        <w:t>Any holder or holders holding registrable securities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price to the public of at least US$500,000 shall have a right to request in writing that we effect a registration on either Form S-3 or Form F-3, and any related qualification or compliance with respect to all or a part of the registrable securities owned by such holder or holders. We are obligated to promptly give written notice of the proposed registration and the holder’s or holders’ request therefor, and any related qualification or compliance, to all other holders of registrable securities. We shall not be obliged to effect any such registration, qualification or compliance if (i) Form S-3 or Form F-3 becomes unavailable for such offering by the holders, or (ii) if we have, within six (6) months period preceding the date of such request, already effected a registration under the Securities Act other than a registration from which the registrable securities of holders have been excluded pursuant to a piggyback registration. We have a right to defer filing of a registration statement for a period of not more than ninety (90) days during which such filing would be materially detrimental to us or our members on the condition that we furnish to the holders a certificate signed by our president or chief executive officer stating that in the good faith judgment of our board of directors, it would be materially detrimental to us and our shareholders for such registration statement to be filed at such time. However, we can exercise the deferral right for no more than once during any twelve (12) month period. We shall not file any registration statement pertaining to the public offering of any securities during such ninety (90) day period.</w:t>
      </w:r>
    </w:p>
    <w:p>
      <w:pPr>
        <w:spacing w:after="0" w:line="343"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Expenses of Registration. </w:t>
      </w:r>
      <w:r>
        <w:rPr>
          <w:rFonts w:ascii="Times New Roman" w:cs="Times New Roman" w:eastAsia="Times New Roman" w:hAnsi="Times New Roman"/>
          <w:sz w:val="18"/>
          <w:szCs w:val="18"/>
          <w:color w:val="auto"/>
        </w:rPr>
        <w:t>We will bear all registration expenses, other than the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applicable to the sale of the registrable securities, incurred in connection with the registrations pursuant to the fifth amended and restated shareholders agreement.</w:t>
      </w:r>
    </w:p>
    <w:p>
      <w:pPr>
        <w:spacing w:after="0" w:line="106" w:lineRule="exact"/>
        <w:rPr>
          <w:sz w:val="20"/>
          <w:szCs w:val="20"/>
          <w:color w:val="auto"/>
        </w:rPr>
      </w:pPr>
    </w:p>
    <w:p>
      <w:pPr>
        <w:ind w:left="1260" w:right="77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Termination of Obligations. </w:t>
      </w:r>
      <w:r>
        <w:rPr>
          <w:rFonts w:ascii="Times New Roman" w:cs="Times New Roman" w:eastAsia="Times New Roman" w:hAnsi="Times New Roman"/>
          <w:sz w:val="18"/>
          <w:szCs w:val="18"/>
          <w:color w:val="auto"/>
        </w:rPr>
        <w:t>The registration rights set forth above will terminate (i) five (5)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consummation of this offering, or (ii) if all such registrable securities proposed to be sold by a holder may then be sold under Rule 144 in one transaction without exceeding the volume limitations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MERICAN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EPOSITARY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17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[Citibank, N.A.has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 Hong Kong, located at 9/F, Citi Tower, One Bay East, 83 Hoi Bun Road, Kwun Tong, Kowloon, Hong Kong.</w:t>
      </w:r>
    </w:p>
    <w:p>
      <w:pPr>
        <w:spacing w:after="0" w:line="114"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when retrieving such copy.</w:t>
      </w:r>
    </w:p>
    <w:p>
      <w:pPr>
        <w:spacing w:after="0" w:line="12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w:t>
      </w:r>
    </w:p>
    <w:p>
      <w:pPr>
        <w:spacing w:after="0" w:line="16" w:lineRule="exact"/>
        <w:rPr>
          <w:sz w:val="20"/>
          <w:szCs w:val="20"/>
          <w:color w:val="auto"/>
        </w:rPr>
      </w:pPr>
    </w:p>
    <w:p>
      <w:pPr>
        <w:ind w:left="1260" w:right="479"/>
        <w:spacing w:after="0"/>
        <w:tabs>
          <w:tab w:leader="none" w:pos="13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327"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23"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will hold on your behalf the shareholder rights attached to the ordinary</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99"/>
        <w:spacing w:after="0" w:line="261" w:lineRule="auto"/>
        <w:rPr>
          <w:sz w:val="20"/>
          <w:szCs w:val="20"/>
          <w:color w:val="auto"/>
        </w:rPr>
      </w:pPr>
      <w:r>
        <w:rPr>
          <w:rFonts w:ascii="Times New Roman" w:cs="Times New Roman" w:eastAsia="Times New Roman" w:hAnsi="Times New Roman"/>
          <w:sz w:val="18"/>
          <w:szCs w:val="18"/>
          <w:i w:val="1"/>
          <w:iCs w:val="1"/>
          <w:color w:val="auto"/>
        </w:rPr>
        <w:t>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1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335"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319"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owners of ADSs until the distribution can be effected or the funds that the depositary holds must be escheated as unclaimed property in accordance with the laws of the relevant states of the United States.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Shares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325"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62"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will not distribute the rights to you if:</w:t>
      </w:r>
    </w:p>
    <w:p>
      <w:pPr>
        <w:spacing w:after="0" w:line="117" w:lineRule="exact"/>
        <w:rPr>
          <w:sz w:val="20"/>
          <w:szCs w:val="20"/>
          <w:color w:val="auto"/>
        </w:rPr>
      </w:pPr>
    </w:p>
    <w:p>
      <w:pPr>
        <w:ind w:left="1800" w:right="8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5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4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800" w:right="779" w:hanging="180"/>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17"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Ordinary Shares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99"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Ordinary Shares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Upon completion of the offering, the ordinary shares being offered pursuant to the prospectus will be deposited by us with the custodian. Upon receipt of confirmation of such deposit, the depositary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will issue ADSs to the underwriters named in the prospectus.</w:t>
      </w:r>
    </w:p>
    <w:p>
      <w:pPr>
        <w:spacing w:after="0" w:line="325"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After the closing of the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spacing w:after="0" w:line="11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0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54" w:lineRule="exact"/>
        <w:rPr>
          <w:sz w:val="20"/>
          <w:szCs w:val="20"/>
          <w:color w:val="auto"/>
        </w:rPr>
      </w:pPr>
    </w:p>
    <w:p>
      <w:pPr>
        <w:ind w:left="1800" w:right="10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58"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48"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1" w:lineRule="exact"/>
        <w:rPr>
          <w:sz w:val="20"/>
          <w:szCs w:val="20"/>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94"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Ordinary Shares Upon Cancellation of ADSs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58" w:lineRule="auto"/>
        <w:rPr>
          <w:sz w:val="20"/>
          <w:szCs w:val="20"/>
          <w:color w:val="auto"/>
        </w:rPr>
      </w:pPr>
      <w:r>
        <w:rPr>
          <w:rFonts w:ascii="Times New Roman" w:cs="Times New Roman" w:eastAsia="Times New Roman" w:hAnsi="Times New Roman"/>
          <w:sz w:val="18"/>
          <w:szCs w:val="18"/>
          <w:color w:val="auto"/>
        </w:rPr>
        <w:t>withdraw the ordinary shares held in respect of the ADSs may be limited by U.S. and Cayman Islands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1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w:t>
      </w:r>
    </w:p>
    <w:p>
      <w:pPr>
        <w:spacing w:after="0" w:line="95"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in accordance with such voting instructions as follows:</w:t>
      </w:r>
    </w:p>
    <w:p>
      <w:pPr>
        <w:spacing w:after="0" w:line="79" w:lineRule="exact"/>
        <w:rPr>
          <w:sz w:val="20"/>
          <w:szCs w:val="20"/>
          <w:color w:val="auto"/>
        </w:rPr>
      </w:pPr>
    </w:p>
    <w:p>
      <w:pPr>
        <w:ind w:left="1800" w:right="499" w:hanging="180"/>
        <w:spacing w:after="0" w:line="267"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held on deposit at that time in accordance with the voting instructions received from a majority of holders of ADSs who provide timely voting instructions.</w:t>
      </w:r>
    </w:p>
    <w:p>
      <w:pPr>
        <w:spacing w:after="0" w:line="78" w:lineRule="exact"/>
        <w:rPr>
          <w:rFonts w:ascii="Times New Roman" w:cs="Times New Roman" w:eastAsia="Times New Roman" w:hAnsi="Times New Roman"/>
          <w:sz w:val="18"/>
          <w:szCs w:val="18"/>
          <w:color w:val="auto"/>
        </w:rPr>
      </w:pPr>
    </w:p>
    <w:p>
      <w:pPr>
        <w:ind w:left="1800" w:right="459" w:hanging="180"/>
        <w:spacing w:after="0" w:line="284"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on deposit in accordance with the voting instructions received from the holders of ADSs.</w:t>
      </w:r>
    </w:p>
    <w:p>
      <w:pPr>
        <w:spacing w:after="0" w:line="9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(some of which may be cumulative)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terms of the deposit agreement:</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20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Fees</w:t>
            </w:r>
          </w:p>
        </w:tc>
        <w:tc>
          <w:tcPr>
            <w:tcW w:w="0" w:type="dxa"/>
            <w:vAlign w:val="bottom"/>
          </w:tcPr>
          <w:p>
            <w:pPr>
              <w:spacing w:after="0"/>
              <w:rPr>
                <w:sz w:val="1"/>
                <w:szCs w:val="1"/>
                <w:color w:val="auto"/>
              </w:rPr>
            </w:pPr>
          </w:p>
        </w:tc>
      </w:tr>
      <w:tr>
        <w:trPr>
          <w:trHeight w:val="218"/>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Issuance of ADSs (e.g., an issuance of ADS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upon a deposit of ordinary shares, upon a</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ADS(s)-to-ordinary shares ratio,</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 conversions, or for any other reason),</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excluding ADS issuances as a result of</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of ordinary shares)</w:t>
            </w: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Up to U.S. 5¢ per ADS cancelled</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of ADSs (e.g., a cancellation of</w:t>
            </w:r>
          </w:p>
        </w:tc>
        <w:tc>
          <w:tcPr>
            <w:tcW w:w="4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 for delivery of deposited property, upon a</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ADS(s)-to-ordinary shares ratio,</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 conversions, upon termination of the</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Agreement, or for any other reason)</w:t>
            </w: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Up to U.S. 5¢ per ADS held</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cash dividends or other cash</w:t>
            </w:r>
          </w:p>
        </w:tc>
        <w:tc>
          <w:tcPr>
            <w:tcW w:w="4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(e.g., upon a sale of rights and</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entitlements)</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87"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ADSs pursuant to (i) stock</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Up to U.S. 5¢ per ADS held</w:t>
            </w:r>
          </w:p>
        </w:tc>
        <w:tc>
          <w:tcPr>
            <w:tcW w:w="10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or other free stock distributions, or</w:t>
            </w:r>
          </w:p>
        </w:tc>
        <w:tc>
          <w:tcPr>
            <w:tcW w:w="338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ind w:left="1620" w:right="4959"/>
        <w:spacing w:after="0" w:line="250" w:lineRule="auto"/>
        <w:tabs>
          <w:tab w:leader="none" w:pos="190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rights to purchase additional ADSs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 of financial instruments, including, ​ ​ Up to U.S. 5¢ per ADS held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limitation, securities other than ADSs</w:t>
            </w: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rights to purchase additional ADSs (e.g.,</w:t>
            </w: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upon a spin-off and contingent value rights)</w:t>
            </w:r>
          </w:p>
        </w:tc>
        <w:tc>
          <w:tcPr>
            <w:tcW w:w="4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Up to U.S. 5¢ per ADS held on the applicable record​</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 Services</w:t>
            </w:r>
          </w:p>
        </w:tc>
        <w:tc>
          <w:tcPr>
            <w:tcW w:w="4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date(s) established by the depositary</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1" w:lineRule="exact"/>
        <w:rPr>
          <w:sz w:val="20"/>
          <w:szCs w:val="20"/>
          <w:color w:val="auto"/>
        </w:rPr>
      </w:pPr>
    </w:p>
    <w:p>
      <w:pPr>
        <w:ind w:left="1620" w:hanging="360"/>
        <w:spacing w:after="0" w:line="254"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 Up to U.S. 5¢ per ADS (or fraction thereof)</w:t>
            </w:r>
          </w:p>
        </w:tc>
        <w:tc>
          <w:tcPr>
            <w:tcW w:w="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transferred</w:t>
            </w:r>
          </w:p>
        </w:tc>
        <w:tc>
          <w:tcPr>
            <w:tcW w:w="400" w:type="dxa"/>
            <w:vAlign w:val="bottom"/>
          </w:tcPr>
          <w:p>
            <w:pPr>
              <w:spacing w:after="0"/>
              <w:rPr>
                <w:sz w:val="20"/>
                <w:szCs w:val="20"/>
                <w:color w:val="auto"/>
              </w:rPr>
            </w:pPr>
          </w:p>
        </w:tc>
      </w:tr>
    </w:tbl>
    <w:p>
      <w:pPr>
        <w:spacing w:after="0" w:line="647" w:lineRule="exact"/>
        <w:rPr>
          <w:sz w:val="20"/>
          <w:szCs w:val="20"/>
          <w:color w:val="auto"/>
        </w:rPr>
      </w:pPr>
    </w:p>
    <w:p>
      <w:pPr>
        <w:sectPr>
          <w:pgSz w:w="11900" w:h="16838" w:orient="portrait"/>
          <w:cols w:equalWidth="0" w:num="2">
            <w:col w:w="5020" w:space="240"/>
            <w:col w:w="4619"/>
          </w:cols>
          <w:pgMar w:left="580" w:top="97" w:right="1440" w:bottom="1440" w:gutter="0" w:footer="0" w:header="0"/>
          <w:type w:val="continuous"/>
        </w:sectPr>
      </w:pPr>
    </w:p>
    <w:p>
      <w:pPr>
        <w:spacing w:after="0" w:line="22" w:lineRule="exact"/>
        <w:rPr>
          <w:sz w:val="20"/>
          <w:szCs w:val="20"/>
          <w:color w:val="auto"/>
        </w:rPr>
      </w:pPr>
    </w:p>
    <w:p>
      <w:pPr>
        <w:ind w:left="1620" w:hanging="360"/>
        <w:spacing w:after="0" w:line="254"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 Up to U.S. 5¢ per ADS (or fraction thereof)</w:t>
            </w:r>
          </w:p>
        </w:tc>
        <w:tc>
          <w:tcPr>
            <w:tcW w:w="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converted</w:t>
            </w:r>
          </w:p>
        </w:tc>
        <w:tc>
          <w:tcPr>
            <w:tcW w:w="400" w:type="dxa"/>
            <w:vAlign w:val="bottom"/>
          </w:tcPr>
          <w:p>
            <w:pPr>
              <w:spacing w:after="0"/>
              <w:rPr>
                <w:sz w:val="20"/>
                <w:szCs w:val="20"/>
                <w:color w:val="auto"/>
              </w:rPr>
            </w:pPr>
          </w:p>
        </w:tc>
      </w:tr>
    </w:tbl>
    <w:p>
      <w:pPr>
        <w:spacing w:after="0" w:line="1655" w:lineRule="exact"/>
        <w:rPr>
          <w:sz w:val="20"/>
          <w:szCs w:val="20"/>
          <w:color w:val="auto"/>
        </w:rPr>
      </w:pPr>
    </w:p>
    <w:p>
      <w:pPr>
        <w:sectPr>
          <w:pgSz w:w="11900" w:h="16838" w:orient="portrait"/>
          <w:cols w:equalWidth="0" w:num="2">
            <w:col w:w="5260" w:space="0"/>
            <w:col w:w="4619"/>
          </w:cols>
          <w:pgMar w:left="580" w:top="97" w:right="1440" w:bottom="1440" w:gutter="0" w:footer="0" w:header="0"/>
          <w:type w:val="continuous"/>
        </w:sect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charges (some of which may be cumulative) such as:</w:t>
      </w:r>
    </w:p>
    <w:p>
      <w:pPr>
        <w:spacing w:after="0" w:line="54" w:lineRule="exact"/>
        <w:rPr>
          <w:sz w:val="20"/>
          <w:szCs w:val="20"/>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the ordinary shares, ADSs and ADRs; and</w:t>
      </w:r>
    </w:p>
    <w:p>
      <w:pPr>
        <w:spacing w:after="0" w:line="81"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81"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348"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5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32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1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54" w:lineRule="exact"/>
        <w:rPr>
          <w:sz w:val="20"/>
          <w:szCs w:val="20"/>
          <w:color w:val="auto"/>
        </w:rPr>
      </w:pPr>
    </w:p>
    <w:p>
      <w:pPr>
        <w:ind w:left="1800" w:right="109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the ordinary shares, for the validity or worth of the ordinary shares, for any financial transaction entered into by any person in respect of the ADSs or any Deposited Property, for any tax consequences that result from the ownership of, or any transaction involving, ADSs, for the credit-worthiness of any third party, for allowing any rights to lapse under the terms of the deposit agreement, for the timeliness of any of our notices or for our failure to give notice.</w:t>
      </w:r>
    </w:p>
    <w:p>
      <w:pPr>
        <w:spacing w:after="0" w:line="8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7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0" w:lineRule="auto"/>
        <w:rPr>
          <w:sz w:val="20"/>
          <w:szCs w:val="20"/>
          <w:color w:val="auto"/>
        </w:rPr>
      </w:pPr>
      <w:r>
        <w:rPr>
          <w:rFonts w:ascii="Times New Roman" w:cs="Times New Roman" w:eastAsia="Times New Roman" w:hAnsi="Times New Roman"/>
          <w:sz w:val="18"/>
          <w:szCs w:val="18"/>
          <w:color w:val="auto"/>
        </w:rPr>
        <w:t>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69" w:lineRule="exact"/>
        <w:rPr>
          <w:sz w:val="20"/>
          <w:szCs w:val="20"/>
          <w:color w:val="auto"/>
        </w:rPr>
      </w:pPr>
    </w:p>
    <w:p>
      <w:pPr>
        <w:ind w:left="1800" w:right="4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memorandum and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the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custodian may require to fulfill legal obligations. You are required to indemnify us, the depositary and the custodian for any claims with respect to taxes based on any tax benefit obtained for you.</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800" w:right="579" w:hanging="180"/>
        <w:spacing w:after="0" w:line="282"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the Cayman Islands.</w:t>
      </w:r>
    </w:p>
    <w:p>
      <w:pPr>
        <w:spacing w:after="0" w:line="10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04"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97"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LIGIBLE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UTURE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Upon completion of this offering, we will have               ADSs outstanding, representing            </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ordinary shares, or      % of our 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ADSs. We intend to apply to list the ADSs on the Nasdaq, but we cannot assure you that a regular trading market will develop in the ADSs. We do not expect that a trading market will develop for our ordinary shares not represented by the ADSs.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our directors and executive officers, our existing shareholders and holders of options] have agreed, for a period of [180] days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32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preceding paragraphs will be automatically extended under certain circumstances. See “Underwriting.”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All of our ordinary shares that will be issued and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290" w:lineRule="exact"/>
        <w:rPr>
          <w:sz w:val="20"/>
          <w:szCs w:val="20"/>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w:t>
      </w:r>
    </w:p>
    <w:p>
      <w:pPr>
        <w:spacing w:after="0" w:line="27" w:lineRule="exact"/>
        <w:rPr>
          <w:rFonts w:ascii="Times New Roman" w:cs="Times New Roman" w:eastAsia="Times New Roman" w:hAnsi="Times New Roman"/>
          <w:sz w:val="18"/>
          <w:szCs w:val="18"/>
          <w:color w:val="auto"/>
        </w:rPr>
      </w:pPr>
    </w:p>
    <w:p>
      <w:pPr>
        <w:ind w:left="1800" w:right="9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immediately after this offering, assuming the underwriters do not exercise their option to purchase additional ADSs; or</w:t>
      </w:r>
    </w:p>
    <w:p>
      <w:pPr>
        <w:spacing w:after="0" w:line="73"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during the four calendar weeks preceding the date on which notice of the sale is filed with the SEC.</w:t>
      </w:r>
    </w:p>
    <w:p>
      <w:pPr>
        <w:spacing w:after="0" w:line="95"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61" w:lineRule="auto"/>
        <w:rPr>
          <w:sz w:val="20"/>
          <w:szCs w:val="20"/>
          <w:color w:val="auto"/>
        </w:rPr>
      </w:pPr>
      <w:r>
        <w:rPr>
          <w:rFonts w:ascii="Times New Roman" w:cs="Times New Roman" w:eastAsia="Times New Roman" w:hAnsi="Times New Roman"/>
          <w:sz w:val="18"/>
          <w:szCs w:val="18"/>
          <w:color w:val="auto"/>
        </w:rPr>
        <w:t>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AXATION</w:t>
      </w:r>
    </w:p>
    <w:p>
      <w:pPr>
        <w:spacing w:after="0" w:line="17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PRC, Swedish and U.S. federal income tax considerations of an investment in the ADSs or ordinary shares is based upon laws and relevant interpretations thereof in effect as of the date of this registration statement, all of which are subject to change. This summary does not deal with all possible tax considerations relating to an investment in the ADSs or ordinary shares, such as the tax considerations under U.S. state and local tax laws or under the tax laws of jurisdictions other than the Cayman Islands, the People’s Republic of China, Sweden and the United States. To the extent that the discussion relates to matters of Cayman Islands tax law, it represents the opinion of Carey Olsen Singapore LLP, our Cayman Islands counsel; to the extent it relates to PRC tax law, it represents the opinion of CM Law Firm, our PRC counsel; in respect of matters of Swedish tax law, it represents the opinion of Baker &amp; McKenzie Advokatbyrå KB, our Swedish counsel.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and ADSs will not be subject to taxation in the Cayman Islands and no withholding will be required on the payment of a dividend or capital to any holder of our ordinary shares or the ADSs, nor will gains derived from the disposal of our ordinary shares or the ADSs be subject to Cayman Islands income or corporation tax.</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12" w:lineRule="exact"/>
        <w:rPr>
          <w:sz w:val="20"/>
          <w:szCs w:val="20"/>
          <w:color w:val="auto"/>
        </w:rPr>
      </w:pPr>
    </w:p>
    <w:p>
      <w:pPr>
        <w:ind w:left="1260" w:right="499"/>
        <w:spacing w:after="0" w:line="253" w:lineRule="auto"/>
        <w:tabs>
          <w:tab w:leader="none" w:pos="148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believe that NIP Group Inc. is not a PRC resident enterprise for PRC tax purposes. NIP Group Inc. is a company incorporated outside of the PRC. NIP Group Inc. is not controlled by a PRC enterprise or PRC enterprise group, and we do not believe that NIP Group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PRC tax authorities determine that NIP Group Inc.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 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It is also unclear whether non-PRC shareholders of NIP Group Inc. would be able to claim the benefits of any tax treaties between their country of tax residence and the PRC in the event that NIP Group Inc. is treated as a PRC resident enterprise.</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Provided that our Cayman Islands holding company, NIP Group Inc., is not deemed to be a PRC resident enterprise, holders of the ADSs and ordinary shares who are not PRC residents will not be subject to PRC income tax on dividends distributed by us or gains realized from the sale or other disposition of our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 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Sweden Taxation</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material Swedish tax issues for holders of ordinary shares or ADSs that are resident in Sweden for tax purposes. The summary is based on current legislation and is intended to provide general information only. Each person considering an investment in ordinary shares or ADSs is advised to consult an independent tax advisor as to the tax consequences that could arise from the acquisition, ownership and disposition of the ordinary shares or ADSs.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individual holders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An individual holder is generally considered to be tax resident in Sweden based on domicile, continuous stay exceeding 183 days or essential ties to Sweden. Swedish nationals and foreign individuals who have been tax resident in Sweden for at least 10 years are generally presumed to have maintained essential ties with Sweden, and so are deemed resident in the 5 years following their departure, unless they can prove that they have not maintained essential ties with Sweden, also known as the 5-year rule. After the first five years, the burden of proof shifts to the Swedish Tax Agency.</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Individual tax residents in Sweden would generally be subject to income tax on dividend income or capital gains realized at the disposal of ADSs and ordinary shares in a foreign company, such as NIP Group Inc. Any dividend income derived from, or capital gains realized at the disposal of, ordinary shares or ADSs in companies listed on a stock exchange such as the Nasdaq Stock Market (“Nasdaq”) would be fully taxable at 30%, since no reduction or exemption would be available under Swedish law or the limited double tax treaty between Sweden and the Cayman Islands. Further, any capital losses realized at the disposal of ADSs or ordinary shares in NIP Group Inc. would normally be fully deductible against any capital gains realized at the disposal of shares, including in ADSs and ordinary shares, otherwise 70% of such capital losses would generally be deductible.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company holders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respect of company holders, a company is generally deemed tax resident in Sweden under local law if it is incorporated in Sweden under the Swedish Companies Act (e.g. a limited liability company). Although a great number of double tax treaties which Sweden has entered into regards the place of effective management as one of the key factors when determining tax residency of a company, double tax treaties can only limit and not extend taxation right under Swedish law. As such, Sweden does not generally apply the concept of place of effective management as a basis for taxation of a foreign company. Any dividend income or capital gains realized by a Swedish tax resident company attributable to a company tax resident in the Cayman Islands would normally be subject to corporate income tax at 20.6% applying the current tax rate (FY 2023). No exemption or reduction is currently available under Swedish law or the limited double tax treaty between Sweden and the Cayman Islands in respect of an investment in NIP Group Inc., a company that is tax resident in the Cayman Islands. Further, any capital losses realized at the disposal of ADSs or ordinary shares in NIP Group Inc. should be fully deductible against any capital gains realized at the disposal of shares, including ADSs and ordinary shares. Unused capital losses may be carried forward and should be deductible against any such capital gains realized at the disposal of shares during the next financial year, without time limitation.</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Controlled foreign company regime</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Under the controlled foreign company regime, or the CFC rules, a Swedish tax resident company or individual or any nonresident with a permanent establishment in Sweden that holds certain interest in certain foreign legal entities is subject to immediate taxation on its proportionate share of the foreign legal entity’s profits if the foreign entity is not taxed or taxed at a rate lower than 11.33%, i.e., 55% of the Swedish corporate income tax rate 20.6%. To trigger the CFC rules, the shareholder must at the end of the financial year control at least 25% of the capital or voting rights in the foreign legal entity, either alone or together with persons who have a community of interest with the shareholder. However, if the foreign legal entity is resident in an “approved” country, CFC taxation should not arise. The Cayman Islands is currently not listed as an approved country, why CFC taxation could arise for certain holders of ADSs or ordinary shares under circumstances described above.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other transfer taxes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Sweden does not levy stamp duty or other transfer taxes at the disposal of ADSs or ordinary shares in a Swedish or foreign company.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ordinary shares by a U.S. Holder (as defined below) that</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acquires our ADSs in this offering and holds our ADSs as “capital assets” (generally,​ property held for investment) under the U.S. Internal Revenue Code of 1986, as amended (the “Code”). This discussion is based upon existing U.S. federal income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alternative minimum tax, the Medicare tax on certain net investment income, or any state, local or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84" w:lineRule="exact"/>
        <w:rPr>
          <w:sz w:val="20"/>
          <w:szCs w:val="20"/>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ordinary shares pursuant to any employee share option or otherwise as compensation;</w:t>
      </w:r>
    </w:p>
    <w:p>
      <w:pPr>
        <w:spacing w:after="0" w:line="4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ordinary shares as part of a straddle, hedge, conversion, constructive sale or other integrated transaction for U.S. federal income tax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ordinary shares representing 10% or more of our stock (by vote or value); 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ordinary shares through such entities,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15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Each U.S. Holder (as defined below) is urged to consult its tax advisor regarding the application of U.S. federal taxation to its particular circumstances, and the state, local, non-U.S. and other tax considerations of the ownership and disposition of our ADSs or ordinary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ordinary shares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08" w:lineRule="exact"/>
        <w:rPr>
          <w:sz w:val="20"/>
          <w:szCs w:val="20"/>
          <w:color w:val="auto"/>
        </w:rPr>
      </w:pPr>
    </w:p>
    <w:p>
      <w:pPr>
        <w:jc w:val="both"/>
        <w:ind w:left="1260" w:right="939" w:firstLine="360"/>
        <w:spacing w:after="0" w:line="257"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ordinary shares, the tax treatment of a partner in the partnership will generally depend upon the status of the partner and the activities of the partner and the partnership.</w:t>
      </w:r>
    </w:p>
    <w:p>
      <w:pPr>
        <w:spacing w:after="0" w:line="1"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Partnerships holding our ADSs or ordinary shares and their partners are urged to consult their tax advisors regarding an investment in our ADSs or ordinary shares.</w:t>
      </w:r>
    </w:p>
    <w:p>
      <w:pPr>
        <w:spacing w:after="0" w:line="10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Accordingly, deposits or withdrawals of ordinary shares for ADSs are not expected to be subject to U.S. federal income tax. The remainder of this discussion assumes that a U.S. Holder of our ADSs will be treated in this manner.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held for the production of passive income (the “asset test”). For this purpose, cash and assets readily convertible into cash are categorized as passive assets and the company’s goodwill and other unbooked intangibles should be treated as an active asset to the extent associated with activities that produce or intended to produce active income.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Based upon our historical, current and projected income and assets, including the expected cash proceeds from this offering, and projections as to the value of our assets, taking into account the projected market value of our ADSs following this offering, we do not expect to be a PFIC for the current taxable year. However, no assurance can be given in this regard because the determination of whether we will be or become a PFIC for any taxable year is a fact intensive determination made annually after the close of each taxable year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the expected cash proceeds from, and our anticipated market capitalization following, this offering. If our market capitalization is less than anticipated or subsequently declines, we may be or become classified as a PFIC for the current taxable year or future taxable years. Furthermore, the composition of our income and assets may also be affected by how, and how quickly, we use our liquid assets and the cash raised in this offering.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 Because there are uncertainties in the application of the relevant rules, and because PFIC status is a factual determination made annually after the close of each taxable year, there can be no assurance that we will not be a PFIC for the current taxable year or any future taxable year.</w:t>
      </w:r>
    </w:p>
    <w:p>
      <w:pPr>
        <w:spacing w:after="0" w:line="33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If we are classified as a PFIC for any taxable year during which a U.S. Holder holds our ADSs or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Any cash distributions (including the amount of any PRC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ordinary shares on which the dividends are paid are readily tradeable on an established securities market in the United States, or, we are eligible for the benefits of a comprehensive tax treaty with the United States which the Secretary of Treasury of the United States determines is satisfactory for purposes of this provision and which includes an exchange of information program, (2) we are neither a PFIC nor treated as such with respect to such a U.S. Holder for the taxable year in which the dividend was paid and the preceding taxable year, and (3) certain holding period requirements are met. We expect our ADSs (but not our ordinary shares), which we intend to apply to list on the Nasdaq, will be considered readily tradeable on an established securities market in the United States, although there can be no assurance in this regard.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EIT Law (see “—​ People’s Republic of China Taxation”), we may be eligible for the benefits of the United States-PRC income tax treaty (the “Treaty”) (which the Secretary of the Treasury of the United States has determined is satisfactory for this purpose).</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Dividends paid on our ADSs or ordinary shares, if any, will generally be treated as income from foreign sources and will generally constitute passive category income for U.S. foreign tax credit purposes. In the event that we are deemed to be a PRC resident enterprise under the PRC EIT Law, a U.S. Holder may be subject to PRC withholding taxes on dividends paid, if any, on the ADSs or ordinary shares. In that case, depending on the U.S. Holder’s individual facts and circumstances, a U.S. Holder may be eligible, subject to a number of complex limitations, to claim a foreign tax credit in respect of any nonrefundable foreign withholding taxes imposed on dividends received on our ADSs or ordinary shares. However, absent an election to apply the benefits of an applicable income tax treaty, certain non-U.S. taxes may not be creditable if the relevant foreign income tax rules are not consistent with certain U.S. federal income tax principles, and we have not determined whether the PRC income tax system meets all these requirements.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the sale or other disposition of our ADSs or ordinary shares in an amount equal to the difference between the amount realized upon the disposition and the holder’s adjusted tax basis in such ADSs or ordinary shares. Any capital gain or loss will be long-term if the ADSs or ordinary shares have been held for more than one year. Long-term capital gain of individuals and certain other non-corporate U.S. Holders will generally be eligible for a reduced rate of taxation.</w:t>
      </w:r>
    </w:p>
    <w:p>
      <w:pPr>
        <w:spacing w:after="0" w:line="32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Capital gain or loss of U.S. persons will generally be U.S.-source gain or loss for U.S. foreign tax credit purposes. However, in the event that gain from the disposition of the ADSs or ordinary shares is subject to tax in the PRC, a U.S. Holder that is eligible for the benefits of the Treaty may treat such gain as PRC-source gain under the Treaty. If a U.S. Holder is not eligible for the benefits of the Treaty or fails to treat any such gain as PRC-source, then such U.S. Holder would generally not be able to use any foreign tax credit arising from any PRC tax imposed on the disposition of the ADSs or ordinary shares. The deductibility of a capital loss may be subject to limitations. U.S. Holders are urged to consult their tax advisors regarding the tax consequences if a foreign tax is imposed on a disposition of our ADSs or ordinary shares, including the availability of the foreign tax credit under their particular circumstances.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81" w:lineRule="exact"/>
        <w:rPr>
          <w:sz w:val="20"/>
          <w:szCs w:val="20"/>
          <w:color w:val="auto"/>
        </w:rPr>
      </w:pPr>
    </w:p>
    <w:p>
      <w:pPr>
        <w:ind w:left="1800" w:right="49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53"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4"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32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For those purposes, we expect that our ADSs, but not our ordinary shares, will be treated as marketable stock upon their listing on the Nasdaq, which is a qualified exchange for these purposes. We anticipate that our ADSs should qualify as being regularly traded, but no assurances may be given in this regard. If a U.S. Holder makes a mark-to-market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339"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9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a U.S. Holder owns our ADSs or ordinary shares during any taxable year that we are a PFIC, the holder must generally file an annual IRS Form 8621 or such other forms as is required by the United States Treasury Department. A failure to file one or more of these forms as required may toll the running of the statute of limitations in respect of each of the taxable years for which such form is required to be filed. Each U.S. Holder should consult its tax advisors regarding the U.S. federal income tax consequences of owning and disposing of our ADSs or ordinary shares if we are or become a PFIC.</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U.S. Holders who are individuals (and certain entities closely held by individuals) generally will be required to report the name, address and such information relating to an interest in the ADSs or ordinary shares as is necessary to identify the class or issue of which the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$50,000.</w:t>
      </w:r>
    </w:p>
    <w:p>
      <w:pPr>
        <w:spacing w:after="0" w:line="12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application of these information reporting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ADSs being offered. Subject to certain conditions set out in the underwriting agreement, each underwriter has severally agreed to purchase, and we have agreed to sell to them, severally, the number of ADSs indicated in the following table.                 ,                 ,                 ,                 and                 are acting as the representatives of the underwriters.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ADSs</w:t>
            </w:r>
            <w:r>
              <w:rPr>
                <w:rFonts w:ascii="Times New Roman" w:cs="Times New Roman" w:eastAsia="Times New Roman" w:hAnsi="Times New Roman"/>
                <w:sz w:val="28"/>
                <w:szCs w:val="28"/>
                <w:b w:val="1"/>
                <w:bCs w:val="1"/>
                <w:color w:val="auto"/>
                <w:vertAlign w:val="subscript"/>
              </w:rPr>
              <w:t>​</w:t>
            </w:r>
          </w:p>
        </w:tc>
      </w:tr>
      <w:tr>
        <w:trPr>
          <w:trHeight w:val="250"/>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Hong Kong Branch</w:t>
            </w:r>
          </w:p>
        </w:tc>
        <w:tc>
          <w:tcPr>
            <w:tcW w:w="4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Tiger Securities, Inc.</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GF Securities (Hong Kong) Brokerage Limited</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Sahm Capital Financial Company</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Kingswood Capital Partners, LLC</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tcBorders>
              <w:bottom w:val="single" w:sz="8" w:color="auto"/>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-1182370</wp:posOffset>
            </wp:positionV>
            <wp:extent cx="137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underwriting agreement provides that the underwriters are obligated, severally and not jointly, to take and pay for all of the ADSs offered by this prospectus if any such ADSs are taken, other than those ADSs covered by the option to purchase additional ADSs described below. The underwriting agreement also provides that if an underwriter defaults, the purchase commitments of non-defaulting underwriters may be increased or the offering may be terminated.</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public offering price on the cover page of this prospectus and part of the ADSs to certain dealers at a price that represents a concession not in excess of US$            per ADS from the initial public offering price. After the initial public offering, the offering price and other selling terms may from time to time be varied by the underwriters.</w:t>
      </w:r>
    </w:p>
    <w:p>
      <w:pPr>
        <w:spacing w:after="0" w:line="32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Certain of the underwriters are expected to make offers and sales both inside and outside the United States through their respective selling agents. Any offers or sales in the United States will be conducted by broker- dealers registered with the SEC. Deutsche Bank AG, Hong Kong Branch will offer ADSs in the United States through its SEC-registered broker-dealer affiliate in the United States, Deutsche Bank Securities Inc. China International Capital Corporation Hong Kong Securities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Each of GF Securities (Hong Kong) Brokerage Limited and Sahm Capital Financial Company is not a broker-dealer registered with the SEC and will not make any offers and sales of ADSs within the United States.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address of Deutsche Bank AG, Hong Kong Branch is Level 60, International Commerce Centre,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Austin Road West, Kowloon, Hong Kong. The address of China International Capital Corporation Hong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Kong Securities Limited is 29th Floor, One International Finance Centre, 1 Harbour View Street, Central,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Hong Kong. The address of US Tiger Securities, Inc. is 437 Madison Avenue, 27th Floor, New York,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NY 10022. The address of GF Securities (Hong Kong) Brokerage Limited is 27/F, GF Tower, 81 Lockhart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Road, Wan Chai, Hong Kong. The address of Sahm Capital Financial Company is 3, KAFD, 5/F,</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Building 305, 3 Area, Riyadh 12263, the Kingdom of Saudi Arabia. The address of Kingswood Capital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Partners, LLC is 126 E 56th St, 22nd Floor, New York, NY 10022.</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ADSs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the final prospectus, to purchase up to an aggregate of             additional ADSs from us at the initial public offering</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price listed on the cover page of this prospectus, less the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severally obligated, subject to certain conditions, to purchase additional ADSs approximately proportionate to each underwriter’s initial amount reflected in the table above and will offer the additional ADSs on the same term as those on which the ADSs are being offered.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ADSs.</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ADSs</w:t>
            </w:r>
          </w:p>
        </w:tc>
        <w:tc>
          <w:tcPr>
            <w:tcW w:w="106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No Exercise </w:t>
            </w:r>
            <w:r>
              <w:rPr>
                <w:rFonts w:ascii="Times New Roman" w:cs="Times New Roman" w:eastAsia="Times New Roman" w:hAnsi="Times New Roman"/>
                <w:sz w:val="27"/>
                <w:szCs w:val="27"/>
                <w:b w:val="1"/>
                <w:bCs w:val="1"/>
                <w:color w:val="auto"/>
                <w:vertAlign w:val="subscript"/>
              </w:rPr>
              <w:t>​</w:t>
            </w:r>
          </w:p>
        </w:tc>
        <w:tc>
          <w:tcPr>
            <w:tcW w:w="9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Full Exercise</w:t>
            </w:r>
            <w:r>
              <w:rPr>
                <w:rFonts w:ascii="Times New Roman" w:cs="Times New Roman" w:eastAsia="Times New Roman" w:hAnsi="Times New Roman"/>
                <w:sz w:val="27"/>
                <w:szCs w:val="27"/>
                <w:b w:val="1"/>
                <w:bCs w:val="1"/>
                <w:color w:val="auto"/>
                <w:vertAlign w:val="subscript"/>
              </w:rPr>
              <w:t>​</w:t>
            </w:r>
          </w:p>
        </w:tc>
      </w:tr>
      <w:tr>
        <w:trPr>
          <w:trHeight w:val="20"/>
        </w:trPr>
        <w:tc>
          <w:tcPr>
            <w:tcW w:w="2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 ​US$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 US$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 ​US$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 US$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w:t>
            </w:r>
          </w:p>
        </w:tc>
      </w:tr>
      <w:tr>
        <w:trPr>
          <w:trHeight w:val="26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 ​US$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 US$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62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83" w:lineRule="exact"/>
        <w:rPr>
          <w:sz w:val="20"/>
          <w:szCs w:val="20"/>
          <w:color w:val="auto"/>
        </w:rPr>
      </w:pPr>
    </w:p>
    <w:p>
      <w:pPr>
        <w:ind w:left="1260" w:firstLine="360"/>
        <w:spacing w:after="0" w:line="250" w:lineRule="auto"/>
        <w:rPr>
          <w:sz w:val="20"/>
          <w:szCs w:val="20"/>
          <w:color w:val="auto"/>
        </w:rPr>
      </w:pPr>
      <w:r>
        <w:rPr>
          <w:rFonts w:ascii="Times New Roman" w:cs="Times New Roman" w:eastAsia="Times New Roman" w:hAnsi="Times New Roman"/>
          <w:sz w:val="18"/>
          <w:szCs w:val="18"/>
          <w:color w:val="auto"/>
        </w:rPr>
        <w:t>We estimate that the total expenses of this offering, excluding the underwriting discounts and commissions, will be approximately US$            . We have agreed to reimburse the underwriters for certain out-of-pocket expenses in connection with this offering in an amount not to exceed US$            .</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63" w:lineRule="exact"/>
        <w:rPr>
          <w:sz w:val="20"/>
          <w:szCs w:val="20"/>
          <w:color w:val="auto"/>
        </w:rPr>
      </w:pPr>
    </w:p>
    <w:p>
      <w:pPr>
        <w:sectPr>
          <w:pgSz w:w="11900" w:h="16838" w:orient="portrait"/>
          <w:cols w:equalWidth="0" w:num="2">
            <w:col w:w="9320" w:space="14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on behalf of the underwriters and subject to certain exceptions, we will not, during the period ending 180 days after the date of this prospectus, (i) 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such ordinary shares or ADSs; (ii) enter into any swap, hedge or other arrangement that transfers to another, in whole or in part, any of the economic consequences of ownership of the ordinary shares or ADSs; (iii) submit or file any registration statement with the SEC relating to the offering of any ordinary shares, ADSs or any securities convertible into or exercisable or exchangeable for ordinary shares or ADSs; or (iv) publicly disclose the intention to make any offer, sale, pledge, disposition or filing, in each case regardless of whether any such transaction described above is to be settled by delivery of ordinary shares, ADSs, or such other securities, in cash or otherwise.]</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directors, officers, existing shareholders, and share-based award holders] have agreed that, without the prior written consent of the representatives on behalf of the underwriters and subject to certain exceptions, they will not, during the period ending 180 days after the date of this prospectus, (i) 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such ordinary shares or ADSs or (ii) enter into any swap, hedge or other arrangement that transfers to another, in whole or in part, any of the economic consequences of ownership of the ordinary shares or ADSs, whether any such transaction described above is to be settled by delivery of ordinary shares, ADSs or such other securities, in cash or otherwise, or (iii) publicly disclose the intention to make any such offer, sale, pledge or disposition, or to enter into any such transaction, swap, hedge or other arrangement.]</w:t>
      </w:r>
    </w:p>
    <w:p>
      <w:pPr>
        <w:spacing w:after="0" w:line="1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In addition, we and each such person have agreed that, without the prior written consent of the</w:t>
      </w:r>
    </w:p>
    <w:p>
      <w:pPr>
        <w:spacing w:after="0" w:line="16" w:lineRule="exact"/>
        <w:rPr>
          <w:sz w:val="20"/>
          <w:szCs w:val="20"/>
          <w:color w:val="auto"/>
        </w:rPr>
      </w:pPr>
    </w:p>
    <w:p>
      <w:pPr>
        <w:ind w:left="1260" w:right="639"/>
        <w:spacing w:after="0" w:line="241" w:lineRule="auto"/>
        <w:rPr>
          <w:sz w:val="20"/>
          <w:szCs w:val="20"/>
          <w:color w:val="auto"/>
        </w:rPr>
      </w:pPr>
      <w:r>
        <w:rPr>
          <w:rFonts w:ascii="Times New Roman" w:cs="Times New Roman" w:eastAsia="Times New Roman" w:hAnsi="Times New Roman"/>
          <w:sz w:val="18"/>
          <w:szCs w:val="18"/>
          <w:color w:val="auto"/>
        </w:rPr>
        <w:t>representatives on behalf of the underwriters, we or such other person will not, during the period ending 180 days after the date of this prospectus, make any demand for, or exercise any right with respect to, the registration of any ordinary shares, ADSs, or any security convertible into or exercisable or exchangeable for ordinary shares or ADSs. Further, through a letter agreement, we will instruct Citibank, N.A., as depositary, not to accept any deposit of any ordinary shares or deliver any ADSs until after 180 days following the date of this prospectus unless we consent to such deposit or issuance. We will not provide such consent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without the prior written consent of the representatives of the underwriters. The foregoing does not affect the right of ADS holders to cancel their ADSs and withdraw the underlying ordinary shares.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in their sole discretion, agree to release or waive the restrictions set forth in a lock -up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Stock Market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applied to list our ADSs on The Nasdaq Stock Market under the symbol “NIPG.”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ADSs in the open market. These transactions may include short sales, stabilizing transactions and purchases to cover positions created by short sales in accordance with Regulation M under the Exchange Act. Short sales involve the sale by the underwriters of a greater number of ADSs than they are required to purchase in the offering. “Covered” short sales are sales made in an amount not greater than the underwriters’ option to purchase additional ADSs in the offering, and a short position represents the amount of such sales that have not been covered by subsequent purchases.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additional ADSs pursuant to the option granted to them.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17"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1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w:t>
      </w:r>
    </w:p>
    <w:p>
      <w:pPr>
        <w:spacing w:after="0" w:line="16"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if these activities are commenced, they are required to be conducted in accordance with applicable laws and regulations, and they may be discontinued at any time. These transactions may be effected on the Nasdaq Stock Market, the over-the-counter market or otherwise.</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one or more securities dealers, if any, participating in this offering and one or more of the underwriters participating in this offering may distribute prospectuses electronically. The underwriters may agree to allocate a number of ADSs for sale to their online brokerage account holders. Internet distributions will be allocated on the same basis as other allocations. In addition, ADSs may be sold by the underwriters to securities dealers who resell ADSs to online brokerage account holders.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the ADSs. The initial public offering price was determined by negotiations among us and the representatives and will not necessarily reflect the market price of the ADSs following this offering. Among the factors considered in determining the initial public offering price of the ADSs, in addition to prevailing market conditions, were our historical performance, estimates of our business potential and earnings prospects, future prospects of our industry in general, our sales, earnings and certain other financial and operating information in recent periods, an assessment of our management, and the price-earnings ratios, price-sales ratios, market prices of securities, and certain financial and operating information of companies engaged in activities similar to ours. 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market making, financing and brokerage activities and other financial and non- financial activities and services. Certain of the underwriters and their respective affiliates have, from time to time, performed, and may in the future perform, various financial advisory, commercial and investment banking services and other services for us and for persons and entities with relationships with us, for which they received or will receive customary fees and expenses.</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These investments and securities activities may involve securities and/or instruments of us and/or persons and entities with relationships with us. The underwriters and their respective affiliates may also make or communicate independent investment recommendations, market color or trading ideas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banking and other services for us and such affiliates in the ordinary course of their business, for which they have received and may continue to receive customary fees and commissions. In addition, from time to time, certain of the underwriters and their affiliates may affect transactions for their own account or the account of customers, and hold on behalf of themselves or their customers, long or short positions in our debt or equity securities or loans, and may do so in the future.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Abu Dhabi</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Financial Services Regulatory Authority, or “FSRA,” of the Abu Dhabi Global Market accepts no responsibility for reviewing or verifying this document. Accordingly, the FSRA has not approved this document nor taken any steps to verify the information set out in this document, and has no responsibility for it. The ADSs to which this prospectus relates may be illiquid and/or subject to restrictions on their resale. Prospective purchasers of the ADSs should conduct their own due diligence on the ADSs. If you do not understand the contents of this document you should consult an authorized financial adviser.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document:</w:t>
      </w:r>
    </w:p>
    <w:p>
      <w:pPr>
        <w:spacing w:after="0" w:line="144" w:lineRule="exact"/>
        <w:rPr>
          <w:sz w:val="20"/>
          <w:szCs w:val="20"/>
          <w:color w:val="auto"/>
        </w:rPr>
      </w:pPr>
    </w:p>
    <w:p>
      <w:pPr>
        <w:ind w:left="1980" w:right="499" w:hanging="360"/>
        <w:spacing w:after="0" w:line="282"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w:t>
      </w:r>
    </w:p>
    <w:p>
      <w:pPr>
        <w:spacing w:after="0" w:line="94"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2"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0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any offer of ADSs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or sale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ADSs are not being, and may not be offered to the public or to any person in the British Virgin Islands for purchase or subscription by us or on our behalf. The ADSs may be offered to companies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58" w:lineRule="auto"/>
        <w:rPr>
          <w:sz w:val="20"/>
          <w:szCs w:val="20"/>
          <w:color w:val="auto"/>
        </w:rPr>
      </w:pPr>
      <w:r>
        <w:rPr>
          <w:rFonts w:ascii="Times New Roman" w:cs="Times New Roman" w:eastAsia="Times New Roman" w:hAnsi="Times New Roman"/>
          <w:sz w:val="18"/>
          <w:szCs w:val="18"/>
          <w:color w:val="auto"/>
        </w:rPr>
        <w:t>incorporated under the BVI Business Companies Act, 2004 (British Virgin Islands) (each a BVI Company), but only where the offer will be made to, and received by, the relevant BVI Company entirely outside of the British Virgin Islands.</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prospectus has not been, and will not be, registered with the Financial Services Commission of the British Virgin Islands. No registered prospectus has been or will be prepared in respect of the ADSs for the purposes of the Securities and Investment Business Act, 2010, or SIBA or the Public Issuers Code of the British Virgin Islands.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ADSs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recognized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 (b) who has signed a declaration that he, whether individually or jointly with his spouse, has a net worth in excess of US$1,000,000 and that he consents to being treated as a professional investor.</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99"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or ordinary shares, whether by way of sale or subscription. The underwriters have not offered or sold, and will not offer or sell, directly or indirectly, any ADSs or ordinary shares in the Cayman Islands.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Center</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document nor taken steps to verify the information set forth herein and has no responsibility for this document.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11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Center, or the DIFC, this document is strictly private and confidential and is being distributed to a limited number of investors and must not be provided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any person other than the original recipient, and may not be reproduced or used for any other purpose.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interests in the securities may not be offered or sold directly or indirectly to the public in the DIFC.</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00" w:lineRule="exact"/>
        <w:rPr>
          <w:sz w:val="20"/>
          <w:szCs w:val="20"/>
          <w:color w:val="auto"/>
        </w:rPr>
      </w:pPr>
    </w:p>
    <w:p>
      <w:pPr>
        <w:ind w:left="1980" w:right="979" w:hanging="360"/>
        <w:spacing w:after="0" w:line="282"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80" w:lineRule="exact"/>
        <w:rPr>
          <w:rFonts w:ascii="Times New Roman" w:cs="Times New Roman" w:eastAsia="Times New Roman" w:hAnsi="Times New Roman"/>
          <w:sz w:val="18"/>
          <w:szCs w:val="18"/>
          <w:color w:val="auto"/>
        </w:rPr>
      </w:pPr>
    </w:p>
    <w:p>
      <w:pPr>
        <w:ind w:left="1980" w:right="499" w:hanging="360"/>
        <w:spacing w:after="0" w:line="275"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Article 2 of the Prospectus Regulation), subject to obtaining the prior consent of the underwriters; or</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provided that no such offer of ADSs shall require us or any underwriter to publish a prospectus pursuant to Article 3 of the Prospectus Regulation or supplement a prospectus pursuant to Article 23 of the Prospectus Regulation and each person who initially acquires any ADSs or to whom any offer is made will be deemed to have represented, acknowledged and agreed to and with each of the underwriters and the Company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327"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in Hong Kong, by means of any document other than (i) to “professional investors” as defined in the Securities and Futures Ordinance (Cap.571 of the Laws of Hong Kong), or the “SFO,” of Hong Kong and any rules made thereunder, or (ii) in other circumstances which do not result in the document being a “prospectus” as defined in the Companies (Winding Up and Miscellaneous Provisions) Ordinance (Cap.32)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India</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This document has not been and will not be registered as a prospectus with any registrar of companies in India. This document has not been and will not be reviewed or approved by any statutory or regulatory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authority in India, including the Securities and Exchange Board of India, Reserve Bank of India, any registrar of companies in India or any stock exchange in India. This document and this offering of ADSs are not and should not be construed as an invitation, offer or sale of any securities to the public in India. Other than in compliance with the private placement exemptions under applicable laws and regulations in India, including the Companies Act, 2013, as amended, our ADSs have not been, and will not be, offered or sold to the public or any member of the public in India. This document is strictly personal to the recipient and neither this prospectus nor the offering of our ADSs is calculated to result, directly or indirectly, in our ADSs becoming available for subscription or purchase by persons other than those receiving the invitation or offer. Each investor is deemed to have acknowledged, represented and agreed that it is eligible to invest in us and our ADSs under applicable laws, rules and regulations in India, without the requirement to obtain any prior approval, and that it is not prohibited or prevented under any law, rule or regulation in India from acquiring, owning or selling our ADSs.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prospectus for a public offering of securities and this offering does not, and is not intended to, constitute a public offering of securities under Law Number 8 of 1995 regarding Capital Market and its implementing regulations.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ADSs have not been and will not be registered pursuant to Article 4, Paragraph 1 of the Financial Instruments and Exchange Act. Accordingly, none of the ADSs nor any interest therein may be, directly or indirectly, offered or sold in Japan or to, or for the benefit of, any Japanese Person or to others for re-offering or resale, directly or indirectly, in Japan or to or for the benefit of any Japanese Person, except pursuant to an exemption from the registration requirements of, and otherwise in compliance with, the Financial Instruments and Exchange Law and any other applicable laws, regulations and ministerial guidelines of Japan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Investments Services and Capital Markets Act of Korea and the decrees and regulations thereunder, or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ADSs have not been registered with the Financial Services Commission of Korea for public offering in Korea. Furthermore, the purchaser of the ADSs shall comply with all applicable regulatory requirements (including but not limited to requirements under the FETL) in connection with the purchase of the ADSs. By the purchase of the ADSs, the relevant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holder thereof will be deemed to represent and warrant that if it is in Korea or is a resident of Korea, it purchased the ADSs pursuant to the applicable laws and regulations of Korea.</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w:t>
      </w:r>
    </w:p>
    <w:p>
      <w:pPr>
        <w:spacing w:after="0" w:line="4"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ADSs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75" w:lineRule="exact"/>
        <w:rPr>
          <w:sz w:val="20"/>
          <w:szCs w:val="20"/>
          <w:color w:val="auto"/>
        </w:rPr>
      </w:pPr>
    </w:p>
    <w:p>
      <w:pPr>
        <w:jc w:val="both"/>
        <w:ind w:left="1800" w:right="699" w:hanging="180"/>
        <w:spacing w:after="0" w:line="266"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2001 of Singapore (the “SFA”), as modified or amended from time to time including by any subsidiary legislation as may be applicable at the relevant time,</w:t>
      </w:r>
    </w:p>
    <w:p>
      <w:pPr>
        <w:spacing w:after="0" w:line="8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Sections 275 and 276 of the SFA,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compliance with the conditions set forth in the SFA.</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99" w:lineRule="exact"/>
        <w:rPr>
          <w:sz w:val="20"/>
          <w:szCs w:val="20"/>
          <w:color w:val="auto"/>
        </w:rPr>
      </w:pPr>
    </w:p>
    <w:p>
      <w:pPr>
        <w:jc w:val="both"/>
        <w:ind w:left="1800" w:right="759" w:hanging="180"/>
        <w:spacing w:after="0" w:line="26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and securities-based derivatives contracts (each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(in the case of such corporation) where the transfer arises from an offer referred to in Section 275(1A) of the SFA, or (in the case of such trust) where the transfer arises from an offer referred to in</w:t>
      </w:r>
    </w:p>
    <w:p>
      <w:pPr>
        <w:spacing w:after="0" w:line="1"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276(4)(i)(B) of the SFA;</w:t>
      </w:r>
    </w:p>
    <w:p>
      <w:pPr>
        <w:spacing w:after="0" w:line="11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Notification under Section 309B(1)(c) of the SFA</w:t>
      </w:r>
    </w:p>
    <w:p>
      <w:pPr>
        <w:spacing w:after="0" w:line="146"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ADSs are prescribed capital markets products (as defined in the Securities and Futures (Capital Markets Products) Regulations 2018) and Excluded Investment Products (as defined in the MAS Notice SFA 04-N12: Notice on the Sale of Investment Products and MAS Notice FAA-N16: Notice on Recommendations on Investment Products).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the ADSs are not offered, and the offer shall not be transferred, sold, renounced or delivered, in South Africa or to a person with an address in South Africa, unless one or other of the following exemptions applies:</w:t>
      </w:r>
    </w:p>
    <w:p>
      <w:pPr>
        <w:spacing w:after="0" w:line="76" w:lineRule="exact"/>
        <w:rPr>
          <w:sz w:val="20"/>
          <w:szCs w:val="20"/>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transfer, sale, renunciation or delivery is to:</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is to deal in securities, as principal or agent;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03"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(a) to (f);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 “offer to the public” (as​ such term is defined in the South African Companies Act, No. 71 of 2008 (as amended or re-enacted) (the “South African Companies Act”)) in South Africa is being made in connection with the issue of the ADSs. Accordingly, this prospectus does not, nor is it intended to, constitute a “registered prospectus” (as​ that term is defined in the South African Companies Act) prepared and registered under the South African Companies Act and has not been approved by, and/ or filed with, the South African Companies and Intellectual Property Commission or any other regulatory authority in South Africa. Any issue or offering of the ADSs in South Africa constitutes an offer of the ADSs in South Africa for subscription or sale in South Africa only to persons who fall within the exemption from “offers to the public” set out in section 96(1)(a) of the South African Companies Act. Accordingly, this prospectus must not be acted on or relied on by persons in South Africa who do not fall within section 96(1)(a) of the South African Companies Act (such persons being referred to as “SA Relevant Persons”). Any investment or investment activity to which this prospectus relates is available in South Africa only to SA Relevant Persons and will be engaged in South Africa only with SA relevant persons.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ADSs described herein. The ADSs may not be publicly offered, directly or indirectly, in Switzerland within the meaning of the Swiss Financial Services Act, or “FinSA” and no application has or will be made to admit the ADSs to trading on any trading venue (exchange or multilateral trading facility) in Switzerland. Neither this document nor any other offering or marketing material relating to the ADSs constitutes a prospectus pursuant to the FinSA, and neither this document nor any other offering or marketing material relating to the ADSs may be publicly distributed or otherwise made publicly available in Switzerland.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w:t>
      </w:r>
    </w:p>
    <w:p>
      <w:pPr>
        <w:spacing w:after="0" w:line="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Supervisory Commission of Taiwan pursuant to relevant securities laws and regulations and may not be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sell, give advice regarding or otherwise intermediate the offering and sale of the ADSs in Taiwan.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 (excluding the DIFC and the Abu Dhabi Global Market)</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document is strictly private and confidential and is being distributed to a limited number of investors and must not be provided to any person other than the original recipient, and may not be reproduced or used for any other purpose. If you are in any doubt about the contents of this document, you should consult an authorized financial adviser. By receiving this document, the person or entity to whom it has been issued understands, acknowledges and agrees that this document has not been approved by or filed with the UAE Central Bank, the UAE Securities and Commodities Authority, or the “SCA,” or any other authorities in the UAE (outside of the financial free zones established pursuant to UAE Federal Law No. 8 of 2004), nor have the underwriters received authorization or licensing from the UAE Central Bank, SCA or any other authorities in the UAE to market or sell securities or other investments within the UAE. No marketing of any financial products or services has been or will be made from within the UAE other than in compliance with the laws of the UAE and no subscription to any securities or other investments may or will be consummated within the UAE. It should not be assumed that any of the underwriters is a licensed broker, dealer or investment adviser under the laws applicable in the UAE, or that any of them advise individuals resident in the UAE as to the appropriateness of investing in or purchasing or selling securities or other financial products. The ADSs are not intended for circulation or distribution in or into the UAE, other than to persons who are “Qualified Investors” within the meaning of the SCA’s Board of Directors Decision No. 3 of 2017 Concerning the Organization of Promotion and Introduction to whom the materials may lawfully be communicated. This does not constitute a public offer of securities in the UAE in accordance with the SCA Chairman of the Board Resolution No. 11/R.M of 2016 on the Regulations for Issuing and Offering Shares of Public Joint Stock, or otherwise.</w:t>
      </w:r>
    </w:p>
    <w:p>
      <w:pPr>
        <w:spacing w:after="0" w:line="33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Nothing contained in this document is intended to constitute investment, legal, tax, accounting or other professional advice. This document is for your information only and nothing in this document is intended to endorse or recommend a particular course of action. Any person considering acquiring securities should consult with an appropriate professional for specific advice rendered based on their respective situation.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document is being distributed only to, and is directed only at, and any offer subsequently made may only be directed at persons who are outside the United Kingdom or if in the United Kingdom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prospectus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XPENSES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 TO THIS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FFERING</w:t>
      </w:r>
    </w:p>
    <w:p>
      <w:pPr>
        <w:spacing w:after="0" w:line="175"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market entry and listing fee, all amounts are estimates.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560" w:type="dxa"/>
            <w:vAlign w:val="bottom"/>
            <w:tcBorders>
              <w:right w:val="single" w:sz="8" w:color="CCEEFF"/>
            </w:tcBorders>
            <w:gridSpan w:val="4"/>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xml:space="preserve">​ ​ US$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FINRA Filing Fee</w:t>
            </w:r>
          </w:p>
        </w:tc>
        <w:tc>
          <w:tcPr>
            <w:tcW w:w="16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 Exchange Market Entry and Listing Fee</w:t>
            </w:r>
          </w:p>
        </w:tc>
        <w:tc>
          <w:tcPr>
            <w:tcW w:w="1680" w:type="dxa"/>
            <w:vAlign w:val="bottom"/>
            <w:vMerge w:val="restart"/>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2"/>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80" w:type="dxa"/>
            <w:vAlign w:val="bottom"/>
            <w:vMerge w:val="restart"/>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2"/>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80" w:type="dxa"/>
            <w:vAlign w:val="bottom"/>
            <w:vMerge w:val="restart"/>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4920" w:type="dxa"/>
            <w:vAlign w:val="bottom"/>
            <w:tcBorders>
              <w:bottom w:val="single" w:sz="8" w:color="CCEEFF"/>
            </w:tcBorders>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16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auto"/>
            </w:tcBorders>
            <w:shd w:val="clear" w:color="auto" w:fill="CCEEFF"/>
          </w:tcPr>
          <w:p>
            <w:pPr>
              <w:spacing w:after="0"/>
              <w:rPr>
                <w:sz w:val="4"/>
                <w:szCs w:val="4"/>
                <w:color w:val="auto"/>
              </w:rPr>
            </w:pPr>
          </w:p>
        </w:tc>
        <w:tc>
          <w:tcPr>
            <w:tcW w:w="820" w:type="dxa"/>
            <w:vAlign w:val="bottom"/>
            <w:tcBorders>
              <w:bottom w:val="single" w:sz="8" w:color="auto"/>
            </w:tcBorders>
            <w:shd w:val="clear" w:color="auto" w:fill="CCEEFF"/>
          </w:tcPr>
          <w:p>
            <w:pPr>
              <w:spacing w:after="0"/>
              <w:rPr>
                <w:sz w:val="4"/>
                <w:szCs w:val="4"/>
                <w:color w:val="auto"/>
              </w:rPr>
            </w:pPr>
          </w:p>
        </w:tc>
        <w:tc>
          <w:tcPr>
            <w:tcW w:w="40" w:type="dxa"/>
            <w:vAlign w:val="bottom"/>
            <w:tcBorders>
              <w:bottom w:val="single" w:sz="8" w:color="CCEEFF"/>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US$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4920" w:type="dxa"/>
            <w:vAlign w:val="bottom"/>
          </w:tcPr>
          <w:p>
            <w:pPr>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16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EGAL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17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being represented by Kirkland &amp; Ellis International LLP with respect to certain legal matters as to United States federal securities and New York State law. The underwriters are being represented by Skadden, Arps, Slate, Meagher &amp; Flom LLP with respect to certain legal matters as to United States federal securities and New York State law. The validity of the ordinary shares represented by the ADSs offered in this offering and other certain legal matters as to Cayman Islands law will be passed upon for us by Carey Olsen Singapore LLP. Certain legal matters as to PRC law will be passed upon for us by CM Law Firm. Certain legal matters as to Sweden law will be passed upon for us by Baker &amp; McKenzie Advokatbyrå KB. Kirkland &amp; Ellis International LLP may rely upon Carey Olsen Singapore LLP with respect to matters governed by Cayman Islands law, CM Law Firm with respect to matters governed by PRC law and Baker &amp; McKenzie Advokatbyrå KB with respect to matters governed by Sweden law. Skadden, Arps, Slate, Meagher &amp; Flom LLP may rely upon King &amp; Wood Mallesons with respect to matters governed by PRC law and Baker &amp; McKenzie Advokatbyrå KB with respect to matters governed by Sweden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XPERTS</w:t>
      </w:r>
    </w:p>
    <w:p>
      <w:pPr>
        <w:spacing w:after="0" w:line="17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as of and for the years ended December 31, 2022 and 2023 included in this prospectus have been audited by Marcum Asia CPAs LLP, an independent registered public accounting firm, as stated in their report appearing herein (which report expresses an unqualified opinion on the financial statements). Such consolidated financial statements and financial statement schedule are included in reliance upon the report of such firm given upon their authority as experts in accounting and auditing.</w:t>
      </w:r>
    </w:p>
    <w:p>
      <w:pPr>
        <w:spacing w:after="0" w:line="33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offices of Marcum Asia CPAs LLP are located at Units 06-09, 46th Floor, China World Tower B, No. 1 Jian Guo Men Wai Avenue, Chaoyang District, Beijing,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OU</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17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2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among other things, the furnishing and content of proxy statements to shareholders, and Section 16 short swing profit reporting for our executive officers and directors and for holders of more than 10% of our ordinary shares.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both"/>
        <w:ind w:left="1260"/>
        <w:spacing w:after="0"/>
        <w:tabs>
          <w:tab w:leader="none" w:pos="8660" w:val="left"/>
        </w:tabs>
        <w:rPr>
          <w:sz w:val="20"/>
          <w:szCs w:val="20"/>
          <w:color w:val="auto"/>
        </w:rPr>
      </w:pPr>
      <w:r>
        <w:rPr>
          <w:rFonts w:ascii="Times New Roman" w:cs="Times New Roman" w:eastAsia="Times New Roman" w:hAnsi="Times New Roman"/>
          <w:sz w:val="14"/>
          <w:szCs w:val="14"/>
          <w:b w:val="1"/>
          <w:bCs w:val="1"/>
          <w:color w:val="auto"/>
        </w:rPr>
        <w:t>CONTENTS</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PAGE(S)</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521208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2" w:lineRule="exact"/>
        <w:rPr>
          <w:sz w:val="20"/>
          <w:szCs w:val="20"/>
          <w:color w:val="auto"/>
        </w:rPr>
      </w:pPr>
    </w:p>
    <w:p>
      <w:pPr>
        <w:ind w:left="1260" w:right="1060"/>
        <w:spacing w:after="0" w:line="289" w:lineRule="auto"/>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CONSOLIDATED BALANCE SHEETS AS OF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03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right="28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OPERATIONS AND COMPREHENSIVE LOSS FOR THE YEARS ENDED DECEMBER 31, 2022 AND 2023</w:t>
      </w:r>
    </w:p>
    <w:p>
      <w:pPr>
        <w:spacing w:after="0" w:line="1" w:lineRule="exact"/>
        <w:rPr>
          <w:sz w:val="20"/>
          <w:szCs w:val="20"/>
          <w:color w:val="auto"/>
        </w:rPr>
      </w:pPr>
    </w:p>
    <w:p>
      <w:pPr>
        <w:ind w:left="1440" w:right="20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EQUITY(DEFICIT) FOR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31, 2022 AND 2023</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F-5</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F-6</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F-7</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F-8</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8600" w:space="140"/>
            <w:col w:w="11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NIP Group Inc.</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NIP Group Inc. (the “Company”) as of December 31, 2023 and 2022, the related consolidated statements of operations and comprehensive loss, changes in equity (deficit) and cash flows for each of the two years in the period ended December 31, 2023, and the related notes (collectively referred to as the “financial statements”). In our opinion, the financial statements present fairly, in all material respects, the consolidated financial position of the Company as of December 31, 2023 and 2022, and the consolidated results of its operations and its cash flows for each of the two years in the period ended December 31, 2023, in conformity with accounting principles generally accepted in the United States of America.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2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50" w:lineRule="exact"/>
        <w:rPr>
          <w:sz w:val="20"/>
          <w:szCs w:val="20"/>
          <w:color w:val="auto"/>
        </w:rPr>
      </w:pPr>
    </w:p>
    <w:p>
      <w:pPr>
        <w:ind w:left="1440" w:right="320"/>
        <w:spacing w:after="0" w:line="297" w:lineRule="auto"/>
        <w:rPr>
          <w:sz w:val="20"/>
          <w:szCs w:val="20"/>
          <w:color w:val="auto"/>
        </w:rPr>
      </w:pPr>
      <w:r>
        <w:rPr>
          <w:rFonts w:ascii="Times New Roman" w:cs="Times New Roman" w:eastAsia="Times New Roman" w:hAnsi="Times New Roman"/>
          <w:sz w:val="18"/>
          <w:szCs w:val="18"/>
          <w:color w:val="auto"/>
        </w:rPr>
        <w:t>Receivables related to disposal of league tournaments rights Amounts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-175895</wp:posOffset>
            </wp:positionV>
            <wp:extent cx="5212080" cy="162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2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Long-term borrowing,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Payable related to league tournaments rights,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Operating lease liabilities, current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Amount due to related parties,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Long-term borrowing, non-current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Amount due to related party,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Payable related to league tournaments rights, non-current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Operating 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8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2057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7"/>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9,587,629​​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7,594,601​</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14,448,371​​</w:t>
            </w:r>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18,995,477​</w:t>
            </w:r>
          </w:p>
        </w:tc>
        <w:tc>
          <w:tcPr>
            <w:tcW w:w="0" w:type="dxa"/>
            <w:vAlign w:val="bottom"/>
          </w:tcPr>
          <w:p>
            <w:pPr>
              <w:spacing w:after="0"/>
              <w:rPr>
                <w:sz w:val="1"/>
                <w:szCs w:val="1"/>
                <w:color w:val="auto"/>
              </w:rPr>
            </w:pP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427,414​​</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400,655​</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2,626,762​​</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1,135,644​​</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269,817​</w:t>
            </w:r>
          </w:p>
        </w:tc>
        <w:tc>
          <w:tcPr>
            <w:tcW w:w="0" w:type="dxa"/>
            <w:vAlign w:val="bottom"/>
          </w:tcPr>
          <w:p>
            <w:pPr>
              <w:spacing w:after="0"/>
              <w:rPr>
                <w:sz w:val="1"/>
                <w:szCs w:val="1"/>
                <w:color w:val="auto"/>
              </w:rPr>
            </w:pP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4,617,355</w:t>
            </w:r>
            <w:r>
              <w:rPr>
                <w:rFonts w:ascii="Times New Roman" w:cs="Times New Roman" w:eastAsia="Times New Roman" w:hAnsi="Times New Roman"/>
                <w:sz w:val="28"/>
                <w:szCs w:val="28"/>
                <w:color w:val="auto"/>
                <w:vertAlign w:val="subscript"/>
              </w:rPr>
              <w:t>​​</w:t>
            </w:r>
          </w:p>
        </w:tc>
        <w:tc>
          <w:tcPr>
            <w:tcW w:w="30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2,093,740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xml:space="preserve"> ​ 32,843,175</w:t>
            </w:r>
            <w:r>
              <w:rPr>
                <w:rFonts w:ascii="Times New Roman" w:cs="Times New Roman" w:eastAsia="Times New Roman" w:hAnsi="Times New Roman"/>
                <w:sz w:val="30"/>
                <w:szCs w:val="30"/>
                <w:color w:val="auto"/>
                <w:vertAlign w:val="subscript"/>
              </w:rPr>
              <w:t>​​</w:t>
            </w:r>
          </w:p>
        </w:tc>
        <w:tc>
          <w:tcPr>
            <w:tcW w:w="1140" w:type="dxa"/>
            <w:vAlign w:val="bottom"/>
            <w:gridSpan w:val="6"/>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xml:space="preserve"> ​ 29,354,290</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2,895,216​​</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2,917,525​</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65,382,946​​</w:t>
            </w:r>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​133,969,114​</w:t>
            </w:r>
          </w:p>
        </w:tc>
        <w:tc>
          <w:tcPr>
            <w:tcW w:w="0" w:type="dxa"/>
            <w:vAlign w:val="bottom"/>
          </w:tcPr>
          <w:p>
            <w:pPr>
              <w:spacing w:after="0"/>
              <w:rPr>
                <w:sz w:val="1"/>
                <w:szCs w:val="1"/>
                <w:color w:val="auto"/>
              </w:rPr>
            </w:pP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1,801,874​​</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2,124,481​</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29,826,958​​</w:t>
            </w:r>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​141,402,327​</w:t>
            </w:r>
          </w:p>
        </w:tc>
        <w:tc>
          <w:tcPr>
            <w:tcW w:w="0" w:type="dxa"/>
            <w:vAlign w:val="bottom"/>
          </w:tcPr>
          <w:p>
            <w:pPr>
              <w:spacing w:after="0"/>
              <w:rPr>
                <w:sz w:val="1"/>
                <w:szCs w:val="1"/>
                <w:color w:val="auto"/>
              </w:rPr>
            </w:pP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550,794​</w:t>
            </w:r>
          </w:p>
        </w:tc>
        <w:tc>
          <w:tcPr>
            <w:tcW w:w="0" w:type="dxa"/>
            <w:vAlign w:val="bottom"/>
          </w:tcPr>
          <w:p>
            <w:pPr>
              <w:spacing w:after="0"/>
              <w:rPr>
                <w:sz w:val="1"/>
                <w:szCs w:val="1"/>
                <w:color w:val="auto"/>
              </w:rPr>
            </w:pP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1,180,431</w:t>
            </w:r>
            <w:r>
              <w:rPr>
                <w:rFonts w:ascii="Times New Roman" w:cs="Times New Roman" w:eastAsia="Times New Roman" w:hAnsi="Times New Roman"/>
                <w:sz w:val="28"/>
                <w:szCs w:val="28"/>
                <w:color w:val="auto"/>
                <w:vertAlign w:val="subscript"/>
              </w:rPr>
              <w:t>​​</w:t>
            </w:r>
          </w:p>
        </w:tc>
        <w:tc>
          <w:tcPr>
            <w:tcW w:w="30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3,521,024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​101,092,421</w:t>
            </w:r>
            <w:r>
              <w:rPr>
                <w:rFonts w:ascii="Times New Roman" w:cs="Times New Roman" w:eastAsia="Times New Roman" w:hAnsi="Times New Roman"/>
                <w:sz w:val="30"/>
                <w:szCs w:val="30"/>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​284,485,265</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133,935,596</w:t>
            </w:r>
            <w:r>
              <w:rPr>
                <w:rFonts w:ascii="Times New Roman" w:cs="Times New Roman" w:eastAsia="Times New Roman" w:hAnsi="Times New Roman"/>
                <w:sz w:val="28"/>
                <w:szCs w:val="28"/>
                <w:b w:val="1"/>
                <w:bCs w:val="1"/>
                <w:color w:val="auto"/>
                <w:vertAlign w:val="subscript"/>
              </w:rPr>
              <w:t>​​</w:t>
            </w:r>
          </w:p>
        </w:tc>
        <w:tc>
          <w:tcPr>
            <w:tcW w:w="114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313,839,555</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6,422,896​​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5,324,019​</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281,694​</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9,526,414​​</w:t>
            </w:r>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12,728,929​</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2,617,233​​</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1,921,518​</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4,227,581​​</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6,106,258​</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208,685​​</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500,785​</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366,392​​</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644,858​</w:t>
            </w:r>
          </w:p>
        </w:tc>
        <w:tc>
          <w:tcPr>
            <w:tcW w:w="0" w:type="dxa"/>
            <w:vAlign w:val="bottom"/>
          </w:tcPr>
          <w:p>
            <w:pPr>
              <w:spacing w:after="0"/>
              <w:rPr>
                <w:sz w:val="1"/>
                <w:szCs w:val="1"/>
                <w:color w:val="auto"/>
              </w:rPr>
            </w:pP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9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5,146,331</w:t>
            </w:r>
            <w:r>
              <w:rPr>
                <w:rFonts w:ascii="Times New Roman" w:cs="Times New Roman" w:eastAsia="Times New Roman" w:hAnsi="Times New Roman"/>
                <w:sz w:val="29"/>
                <w:szCs w:val="29"/>
                <w:color w:val="auto"/>
                <w:vertAlign w:val="subscript"/>
              </w:rPr>
              <w:t>​​</w:t>
            </w:r>
          </w:p>
        </w:tc>
        <w:tc>
          <w:tcPr>
            <w:tcW w:w="30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8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1,270,663</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6"/>
          </w:tcPr>
          <w:p>
            <w:pPr>
              <w:ind w:left="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 28,515,532</w:t>
            </w:r>
            <w:r>
              <w:rPr>
                <w:rFonts w:ascii="Times New Roman" w:cs="Times New Roman" w:eastAsia="Times New Roman" w:hAnsi="Times New Roman"/>
                <w:sz w:val="32"/>
                <w:szCs w:val="32"/>
                <w:b w:val="1"/>
                <w:bCs w:val="1"/>
                <w:color w:val="auto"/>
                <w:vertAlign w:val="subscript"/>
              </w:rPr>
              <w:t>​​</w:t>
            </w:r>
          </w:p>
        </w:tc>
        <w:tc>
          <w:tcPr>
            <w:tcW w:w="1140" w:type="dxa"/>
            <w:vAlign w:val="bottom"/>
            <w:gridSpan w:val="6"/>
          </w:tcPr>
          <w:p>
            <w:pPr>
              <w:ind w:left="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 28,778,724</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3,713,180​</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626,906​​</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131,017​</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2,915,875​​</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2,342,940​</w:t>
            </w:r>
          </w:p>
        </w:tc>
        <w:tc>
          <w:tcPr>
            <w:tcW w:w="0" w:type="dxa"/>
            <w:vAlign w:val="bottom"/>
          </w:tcPr>
          <w:p>
            <w:pPr>
              <w:spacing w:after="0"/>
              <w:rPr>
                <w:sz w:val="1"/>
                <w:szCs w:val="1"/>
                <w:color w:val="auto"/>
              </w:rPr>
            </w:pPr>
          </w:p>
        </w:tc>
      </w:tr>
      <w:tr>
        <w:trPr>
          <w:trHeight w:val="27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1,574,878​​</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1,475,374​</w:t>
            </w:r>
          </w:p>
        </w:tc>
        <w:tc>
          <w:tcPr>
            <w:tcW w:w="0" w:type="dxa"/>
            <w:vAlign w:val="bottom"/>
          </w:tcPr>
          <w:p>
            <w:pPr>
              <w:spacing w:after="0"/>
              <w:rPr>
                <w:sz w:val="1"/>
                <w:szCs w:val="1"/>
                <w:color w:val="auto"/>
              </w:rPr>
            </w:pPr>
          </w:p>
        </w:tc>
      </w:tr>
      <w:tr>
        <w:trPr>
          <w:trHeight w:val="25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10,845,902</w:t>
            </w:r>
            <w:r>
              <w:rPr>
                <w:rFonts w:ascii="Times New Roman" w:cs="Times New Roman" w:eastAsia="Times New Roman" w:hAnsi="Times New Roman"/>
                <w:sz w:val="29"/>
                <w:szCs w:val="29"/>
                <w:color w:val="auto"/>
                <w:vertAlign w:val="subscript"/>
              </w:rPr>
              <w:t>​​</w:t>
            </w:r>
          </w:p>
        </w:tc>
        <w:tc>
          <w:tcPr>
            <w:tcW w:w="1140" w:type="dxa"/>
            <w:vAlign w:val="bottom"/>
            <w:gridSpan w:val="6"/>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24,659,215</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15,963,561</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32,321,726</w:t>
      </w:r>
      <w:r>
        <w:rPr>
          <w:rFonts w:ascii="Times New Roman" w:cs="Times New Roman" w:eastAsia="Times New Roman" w:hAnsi="Times New Roman"/>
          <w:sz w:val="35"/>
          <w:szCs w:val="35"/>
          <w:b w:val="1"/>
          <w:bCs w:val="1"/>
          <w:color w:val="auto"/>
          <w:vertAlign w:val="subscript"/>
        </w:rPr>
        <w:t>​</w:t>
      </w:r>
    </w:p>
    <w:p>
      <w:pPr>
        <w:ind w:left="40"/>
        <w:spacing w:after="0" w:line="193"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$ 44,479,093</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$ 61,100,450</w:t>
      </w:r>
      <w:r>
        <w:rPr>
          <w:rFonts w:ascii="Times New Roman" w:cs="Times New Roman" w:eastAsia="Times New Roman" w:hAnsi="Times New Roman"/>
          <w:sz w:val="35"/>
          <w:szCs w:val="35"/>
          <w:b w:val="1"/>
          <w:bCs w:val="1"/>
          <w:color w:val="auto"/>
          <w:vertAlign w:val="subscript"/>
        </w:rPr>
        <w:t>​</w:t>
      </w:r>
    </w:p>
    <w:p>
      <w:pPr>
        <w:spacing w:after="0" w:line="63"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 ​</w:t>
            </w: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20)</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5740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2080" cy="574040"/>
                    </a:xfrm>
                    <a:prstGeom prst="rect">
                      <a:avLst/>
                    </a:prstGeom>
                    <a:noFill/>
                  </pic:spPr>
                </pic:pic>
              </a:graphicData>
            </a:graphic>
          </wp:anchor>
        </w:drawing>
      </w:r>
    </w:p>
    <w:p>
      <w:pPr>
        <w:spacing w:after="0" w:line="20" w:lineRule="exact"/>
        <w:rPr>
          <w:sz w:val="20"/>
          <w:szCs w:val="20"/>
          <w:color w:val="auto"/>
        </w:rPr>
      </w:pPr>
    </w:p>
    <w:p>
      <w:pPr>
        <w:jc w:val="both"/>
        <w:ind w:left="1620" w:right="180" w:hanging="179"/>
        <w:spacing w:after="0" w:line="261" w:lineRule="auto"/>
        <w:rPr>
          <w:sz w:val="20"/>
          <w:szCs w:val="20"/>
          <w:color w:val="auto"/>
        </w:rPr>
      </w:pPr>
      <w:r>
        <w:rPr>
          <w:rFonts w:ascii="Times New Roman" w:cs="Times New Roman" w:eastAsia="Times New Roman" w:hAnsi="Times New Roman"/>
          <w:sz w:val="18"/>
          <w:szCs w:val="18"/>
          <w:color w:val="auto"/>
        </w:rPr>
        <w:t>Class A redeemable preferred shares (US$0.0001 par value; 24,709,527 and 24,709,527 shares authorized as of December 31, 2022 and 2023, respectively, 24,709,527 and 24,709,527 issued and outstanding as of December 31, 2022 and 2023, respectively*)</w:t>
      </w:r>
    </w:p>
    <w:p>
      <w:pPr>
        <w:spacing w:after="0" w:line="4" w:lineRule="exact"/>
        <w:rPr>
          <w:sz w:val="20"/>
          <w:szCs w:val="20"/>
          <w:color w:val="auto"/>
        </w:rPr>
      </w:pPr>
    </w:p>
    <w:p>
      <w:pPr>
        <w:ind w:left="1620" w:hanging="179"/>
        <w:spacing w:after="0" w:line="261" w:lineRule="auto"/>
        <w:rPr>
          <w:sz w:val="20"/>
          <w:szCs w:val="20"/>
          <w:color w:val="auto"/>
        </w:rPr>
      </w:pPr>
      <w:r>
        <w:rPr>
          <w:rFonts w:ascii="Times New Roman" w:cs="Times New Roman" w:eastAsia="Times New Roman" w:hAnsi="Times New Roman"/>
          <w:sz w:val="18"/>
          <w:szCs w:val="18"/>
          <w:color w:val="auto"/>
        </w:rPr>
        <w:t>Class B redeemable preferred shares (US$0.0001 par value; 8,126,477 and 2,693,877 shares authorized as of December 31, 2022 and 2023, respectively, 2,693,877 and 2,693,877 issued and outstanding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5918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591820"/>
                    </a:xfrm>
                    <a:prstGeom prst="rect">
                      <a:avLst/>
                    </a:prstGeom>
                    <a:noFill/>
                  </pic:spPr>
                </pic:pic>
              </a:graphicData>
            </a:graphic>
          </wp:anchor>
        </w:drawing>
      </w:r>
    </w:p>
    <w:p>
      <w:pPr>
        <w:ind w:left="1620" w:right="380" w:hanging="179"/>
        <w:spacing w:after="0" w:line="261" w:lineRule="auto"/>
        <w:rPr>
          <w:sz w:val="20"/>
          <w:szCs w:val="20"/>
          <w:color w:val="auto"/>
        </w:rPr>
      </w:pPr>
      <w:r>
        <w:rPr>
          <w:rFonts w:ascii="Times New Roman" w:cs="Times New Roman" w:eastAsia="Times New Roman" w:hAnsi="Times New Roman"/>
          <w:sz w:val="18"/>
          <w:szCs w:val="18"/>
          <w:color w:val="auto"/>
        </w:rPr>
        <w:t>Class B-1 redeemable preferred shares (US$0.0001 par value; nil and 43,044,524 shares authorized as of December 31, 2022 and 2023, respectively, nil and 43,044,524 issued and outstanding as of December 31, 2022 and 2023, respectively*)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1120" w:val="left"/>
          <w:tab w:leader="none" w:pos="228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tabs>
          <w:tab w:leader="none" w:pos="1120" w:val="left"/>
          <w:tab w:leader="none" w:pos="228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​​$ 97,400,393​​ ​​$114,893,066​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16,062,314​​ ​​ ​ 16,766,736​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​190,882,461</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sectPr>
          <w:pgSz w:w="11900" w:h="16838" w:orient="portrait"/>
          <w:cols w:equalWidth="0" w:num="2">
            <w:col w:w="7060" w:space="100"/>
            <w:col w:w="27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4460" w:type="dxa"/>
            <w:vAlign w:val="bottom"/>
            <w:gridSpan w:val="5"/>
          </w:tcPr>
          <w:p>
            <w:pPr>
              <w:jc w:val="right"/>
              <w:spacing w:after="0" w:line="291" w:lineRule="exact"/>
              <w:rPr>
                <w:sz w:val="20"/>
                <w:szCs w:val="20"/>
                <w:color w:val="auto"/>
              </w:rPr>
            </w:pPr>
            <w:r>
              <w:rPr>
                <w:rFonts w:ascii="Times New Roman" w:cs="Times New Roman" w:eastAsia="Times New Roman" w:hAnsi="Times New Roman"/>
                <w:sz w:val="33"/>
                <w:szCs w:val="33"/>
                <w:b w:val="1"/>
                <w:bCs w:val="1"/>
                <w:color w:val="auto"/>
                <w:vertAlign w:val="subscript"/>
              </w:rPr>
              <w:t>​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113,462,707</w:t>
            </w:r>
            <w:r>
              <w:rPr>
                <w:rFonts w:ascii="Times New Roman" w:cs="Times New Roman" w:eastAsia="Times New Roman" w:hAnsi="Times New Roman"/>
                <w:sz w:val="33"/>
                <w:szCs w:val="33"/>
                <w:b w:val="1"/>
                <w:bCs w:val="1"/>
                <w:color w:val="auto"/>
                <w:vertAlign w:val="subscript"/>
              </w:rPr>
              <w:t>​​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322,542,263</w:t>
            </w:r>
            <w:r>
              <w:rPr>
                <w:rFonts w:ascii="Times New Roman" w:cs="Times New Roman" w:eastAsia="Times New Roman" w:hAnsi="Times New Roman"/>
                <w:sz w:val="33"/>
                <w:szCs w:val="33"/>
                <w:b w:val="1"/>
                <w:bCs w:val="1"/>
                <w:color w:val="auto"/>
                <w:vertAlign w:val="subscript"/>
              </w:rPr>
              <w:t>​</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vMerge w:val="continue"/>
            <w:shd w:val="clear" w:color="auto" w:fill="CCEEFF"/>
          </w:tcPr>
          <w:p>
            <w:pPr>
              <w:spacing w:after="0"/>
              <w:rPr>
                <w:sz w:val="21"/>
                <w:szCs w:val="21"/>
                <w:color w:val="auto"/>
              </w:rPr>
            </w:pPr>
          </w:p>
        </w:tc>
        <w:tc>
          <w:tcPr>
            <w:tcW w:w="324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 ​​ ​</w:t>
            </w: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5777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9" w:lineRule="exact"/>
        <w:rPr>
          <w:sz w:val="20"/>
          <w:szCs w:val="20"/>
          <w:color w:val="auto"/>
        </w:rPr>
      </w:pPr>
    </w:p>
    <w:p>
      <w:pPr>
        <w:ind w:left="1620" w:hanging="179"/>
        <w:spacing w:after="0" w:line="261" w:lineRule="auto"/>
        <w:rPr>
          <w:sz w:val="20"/>
          <w:szCs w:val="20"/>
          <w:color w:val="auto"/>
        </w:rPr>
      </w:pPr>
      <w:r>
        <w:rPr>
          <w:rFonts w:ascii="Times New Roman" w:cs="Times New Roman" w:eastAsia="Times New Roman" w:hAnsi="Times New Roman"/>
          <w:sz w:val="18"/>
          <w:szCs w:val="18"/>
          <w:color w:val="auto"/>
        </w:rPr>
        <w:t>Ordinary Shares (US$0.0001 par value; 467,163,996 and 429,552,072 shares authorized as of December 31, 2022 and 2023, respectively, 33,674,740 and 37,163,379 issued and outstanding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62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Subscription receivable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Statutory reserve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deficit attributable to the shareholders of NIP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97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1968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12344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 ​​$</w:t>
            </w: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02"/>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1"/>
              <w:spacing w:after="0" w:line="202" w:lineRule="exact"/>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76"/>
        </w:trPr>
        <w:tc>
          <w:tcPr>
            <w:tcW w:w="2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72,420​​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72,420​</w:t>
            </w:r>
          </w:p>
        </w:tc>
        <w:tc>
          <w:tcPr>
            <w:tcW w:w="0" w:type="dxa"/>
            <w:vAlign w:val="bottom"/>
          </w:tcPr>
          <w:p>
            <w:pPr>
              <w:spacing w:after="0"/>
              <w:rPr>
                <w:sz w:val="1"/>
                <w:szCs w:val="1"/>
                <w:color w:val="auto"/>
              </w:rPr>
            </w:pPr>
          </w:p>
        </w:tc>
      </w:tr>
      <w:tr>
        <w:trPr>
          <w:trHeight w:val="180"/>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​(29,250,505)</w:t>
            </w:r>
          </w:p>
        </w:tc>
        <w:tc>
          <w:tcPr>
            <w:tcW w:w="9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​(80,300,893)</w:t>
            </w:r>
          </w:p>
        </w:tc>
        <w:tc>
          <w:tcPr>
            <w:tcW w:w="0" w:type="dxa"/>
            <w:vAlign w:val="bottom"/>
          </w:tcPr>
          <w:p>
            <w:pPr>
              <w:spacing w:after="0"/>
              <w:rPr>
                <w:sz w:val="1"/>
                <w:szCs w:val="1"/>
                <w:color w:val="auto"/>
              </w:rPr>
            </w:pPr>
          </w:p>
        </w:tc>
      </w:tr>
      <w:tr>
        <w:trPr>
          <w:trHeight w:val="76"/>
        </w:trPr>
        <w:tc>
          <w:tcPr>
            <w:tcW w:w="2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48"/>
        </w:trPr>
        <w:tc>
          <w:tcPr>
            <w:tcW w:w="44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8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15"/>
                <w:szCs w:val="15"/>
                <w:color w:val="auto"/>
              </w:rPr>
              <w:t>172,115</w:t>
            </w:r>
            <w:r>
              <w:rPr>
                <w:rFonts w:ascii="Times New Roman" w:cs="Times New Roman" w:eastAsia="Times New Roman" w:hAnsi="Times New Roman"/>
                <w:sz w:val="28"/>
                <w:szCs w:val="28"/>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5,425,370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00" w:hanging="74"/>
        <w:spacing w:after="0"/>
        <w:tabs>
          <w:tab w:leader="none" w:pos="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​(29,005,970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​(74,803,103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58" w:lineRule="exact"/>
        <w:rPr>
          <w:rFonts w:ascii="Times New Roman" w:cs="Times New Roman" w:eastAsia="Times New Roman" w:hAnsi="Times New Roman"/>
          <w:sz w:val="18"/>
          <w:szCs w:val="18"/>
          <w:color w:val="auto"/>
        </w:rPr>
      </w:pPr>
    </w:p>
    <w:p>
      <w:pPr>
        <w:ind w:left="100" w:hanging="74"/>
        <w:spacing w:after="0" w:line="181" w:lineRule="auto"/>
        <w:tabs>
          <w:tab w:leader="none" w:pos="100" w:val="left"/>
        </w:tabs>
        <w:numPr>
          <w:ilvl w:val="0"/>
          <w:numId w:val="121"/>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30"/>
          <w:szCs w:val="30"/>
          <w:b w:val="1"/>
          <w:bCs w:val="1"/>
          <w:u w:val="single" w:color="auto"/>
          <w:color w:val="auto"/>
          <w:vertAlign w:val="sub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  4,999,766</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30"/>
          <w:szCs w:val="30"/>
          <w:b w:val="1"/>
          <w:bCs w:val="1"/>
          <w:u w:val="single" w:color="auto"/>
          <w:color w:val="auto"/>
          <w:vertAlign w:val="sub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  4,999,945</w:t>
      </w:r>
      <w:r>
        <w:rPr>
          <w:rFonts w:ascii="Times New Roman" w:cs="Times New Roman" w:eastAsia="Times New Roman" w:hAnsi="Times New Roman"/>
          <w:sz w:val="30"/>
          <w:szCs w:val="30"/>
          <w:b w:val="1"/>
          <w:bCs w:val="1"/>
          <w:color w:val="auto"/>
          <w:vertAlign w:val="subscript"/>
        </w:rPr>
        <w:t>​</w:t>
      </w:r>
    </w:p>
    <w:tbl>
      <w:tblPr>
        <w:tblLayout w:type="fixed"/>
        <w:tblInd w:w="20" w:type="dxa"/>
        <w:tblCellMar>
          <w:top w:w="0" w:type="dxa"/>
          <w:left w:w="0" w:type="dxa"/>
          <w:bottom w:w="0" w:type="dxa"/>
          <w:right w:w="0" w:type="dxa"/>
        </w:tblCellMar>
      </w:tblPr>
      <w:tr>
        <w:trPr>
          <w:trHeight w:val="190"/>
        </w:trPr>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​(24,006,204)</w:t>
            </w:r>
          </w:p>
        </w:tc>
        <w:tc>
          <w:tcPr>
            <w:tcW w:w="98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​(69,803,158)</w:t>
            </w:r>
          </w:p>
        </w:tc>
        <w:tc>
          <w:tcPr>
            <w:tcW w:w="0" w:type="dxa"/>
            <w:vAlign w:val="bottom"/>
          </w:tcPr>
          <w:p>
            <w:pPr>
              <w:spacing w:after="0"/>
              <w:rPr>
                <w:sz w:val="1"/>
                <w:szCs w:val="1"/>
                <w:color w:val="auto"/>
              </w:rPr>
            </w:pPr>
          </w:p>
        </w:tc>
      </w:tr>
      <w:tr>
        <w:trPr>
          <w:trHeight w:val="68"/>
        </w:trPr>
        <w:tc>
          <w:tcPr>
            <w:tcW w:w="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5"/>
                <w:szCs w:val="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$133,935,596</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$313,839,555</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6960" w:space="180"/>
            <w:col w:w="2739"/>
          </w:cols>
          <w:pgMar w:left="580" w:top="97" w:right="1440" w:bottom="1440" w:gutter="0" w:footer="0" w:header="0"/>
          <w:type w:val="continuous"/>
        </w:sectPr>
      </w:pPr>
    </w:p>
    <w:p>
      <w:pPr>
        <w:spacing w:after="0" w:line="48" w:lineRule="exact"/>
        <w:rPr>
          <w:sz w:val="20"/>
          <w:szCs w:val="20"/>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per share data are presented on a retroactive basis to reflect the reorganization and stock split (Note 1 &amp;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 ​</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3000" w:type="dxa"/>
            <w:vAlign w:val="bottom"/>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000" w:type="dxa"/>
            <w:vAlign w:val="bottom"/>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revenue – third parties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revenue – related parties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net revenue</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 –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 – related parties (Note 20)</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Selling and marketing expenses</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Preferred shares redemption value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Inc.’s shareholders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3003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20" w:lineRule="exact"/>
        <w:rPr>
          <w:sz w:val="20"/>
          <w:szCs w:val="20"/>
          <w:color w:val="auto"/>
        </w:rPr>
      </w:pPr>
    </w:p>
    <w:p>
      <w:pPr>
        <w:ind w:left="1620" w:right="40" w:hanging="179"/>
        <w:spacing w:after="0" w:line="266" w:lineRule="auto"/>
        <w:rPr>
          <w:sz w:val="20"/>
          <w:szCs w:val="20"/>
          <w:color w:val="auto"/>
        </w:rPr>
      </w:pPr>
      <w:r>
        <w:rPr>
          <w:rFonts w:ascii="Times New Roman" w:cs="Times New Roman" w:eastAsia="Times New Roman" w:hAnsi="Times New Roman"/>
          <w:sz w:val="18"/>
          <w:szCs w:val="18"/>
          <w:color w:val="auto"/>
        </w:rPr>
        <w:t>Foreign currency translation income (loss) attributable to non-controlling interest, net of nil tax</w:t>
      </w:r>
    </w:p>
    <w:p>
      <w:pPr>
        <w:ind w:left="1620" w:hanging="179"/>
        <w:spacing w:after="0" w:line="282" w:lineRule="auto"/>
        <w:rPr>
          <w:sz w:val="20"/>
          <w:szCs w:val="20"/>
          <w:color w:val="auto"/>
        </w:rPr>
      </w:pPr>
      <w:r>
        <w:rPr>
          <w:rFonts w:ascii="Times New Roman" w:cs="Times New Roman" w:eastAsia="Times New Roman" w:hAnsi="Times New Roman"/>
          <w:sz w:val="18"/>
          <w:szCs w:val="18"/>
          <w:color w:val="auto"/>
        </w:rPr>
        <w:t>Foreign currency translation income attributable to ordinary shareholders, net of nil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885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comprehensive loss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comprehensive (loss)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comprehensive loss attributable to NIP Group Inc.</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631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63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compensation expense as follows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​​​$ 30,994,544​​​​$ 82,502,622​</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​34,840,567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 1,165,819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 65,835,111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​83,668,441</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260" w:hanging="219"/>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​(61,631,544​​​​) ​(75,884,571​)</w:t>
      </w:r>
    </w:p>
    <w:p>
      <w:pPr>
        <w:spacing w:after="0" w:line="36" w:lineRule="exact"/>
        <w:rPr>
          <w:rFonts w:ascii="Times New Roman" w:cs="Times New Roman" w:eastAsia="Times New Roman" w:hAnsi="Times New Roman"/>
          <w:sz w:val="18"/>
          <w:szCs w:val="18"/>
          <w:color w:val="auto"/>
        </w:rPr>
      </w:pPr>
    </w:p>
    <w:p>
      <w:pPr>
        <w:ind w:left="260" w:hanging="219"/>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(461,138</w:t>
      </w:r>
      <w:r>
        <w:rPr>
          <w:rFonts w:ascii="Times New Roman" w:cs="Times New Roman" w:eastAsia="Times New Roman" w:hAnsi="Times New Roman"/>
          <w:sz w:val="18"/>
          <w:szCs w:val="18"/>
          <w:color w:val="auto"/>
        </w:rPr>
        <w:t>​​​​) ​  (585,184​)</w:t>
      </w:r>
    </w:p>
    <w:p>
      <w:pPr>
        <w:spacing w:after="0" w:line="49" w:lineRule="exact"/>
        <w:rPr>
          <w:rFonts w:ascii="Times New Roman" w:cs="Times New Roman" w:eastAsia="Times New Roman" w:hAnsi="Times New Roman"/>
          <w:sz w:val="18"/>
          <w:szCs w:val="18"/>
          <w:color w:val="auto"/>
        </w:rPr>
      </w:pPr>
    </w:p>
    <w:p>
      <w:pPr>
        <w:ind w:left="260" w:hanging="219"/>
        <w:spacing w:after="0"/>
        <w:tabs>
          <w:tab w:leader="none" w:pos="2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​(62,092,682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​(76,469,755</w:t>
      </w:r>
      <w:r>
        <w:rPr>
          <w:rFonts w:ascii="Times New Roman" w:cs="Times New Roman" w:eastAsia="Times New Roman" w:hAnsi="Times New Roman"/>
          <w:sz w:val="18"/>
          <w:szCs w:val="18"/>
          <w:b w:val="1"/>
          <w:bCs w:val="1"/>
          <w:color w:val="auto"/>
        </w:rPr>
        <w:t>​)</w:t>
      </w:r>
    </w:p>
    <w:p>
      <w:pPr>
        <w:spacing w:after="0" w:line="49" w:lineRule="exact"/>
        <w:rPr>
          <w:rFonts w:ascii="Times New Roman" w:cs="Times New Roman" w:eastAsia="Times New Roman" w:hAnsi="Times New Roman"/>
          <w:sz w:val="18"/>
          <w:szCs w:val="18"/>
          <w:b w:val="1"/>
          <w:bCs w:val="1"/>
          <w:color w:val="auto"/>
        </w:rPr>
      </w:pPr>
    </w:p>
    <w:p>
      <w:pPr>
        <w:ind w:left="260" w:hanging="219"/>
        <w:spacing w:after="0"/>
        <w:tabs>
          <w:tab w:leader="none" w:pos="2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3,742,429​​​​ ​ 7,198,686​</w:t>
      </w:r>
    </w:p>
    <w:p>
      <w:pPr>
        <w:spacing w:after="0" w:line="41" w:lineRule="exact"/>
        <w:rPr>
          <w:sz w:val="20"/>
          <w:szCs w:val="20"/>
          <w:color w:val="auto"/>
        </w:rPr>
      </w:pPr>
    </w:p>
    <w:p>
      <w:pPr>
        <w:ind w:left="40"/>
        <w:spacing w:after="0"/>
        <w:tabs>
          <w:tab w:leader="none" w:pos="1100" w:val="left"/>
          <w:tab w:leader="none" w:pos="222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260" w:hanging="219"/>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(5,494,665​​​​) ​ (6,577,396​)</w:t>
      </w:r>
    </w:p>
    <w:p>
      <w:pPr>
        <w:spacing w:after="0" w:line="36" w:lineRule="exact"/>
        <w:rPr>
          <w:rFonts w:ascii="Times New Roman" w:cs="Times New Roman" w:eastAsia="Times New Roman" w:hAnsi="Times New Roman"/>
          <w:sz w:val="18"/>
          <w:szCs w:val="18"/>
          <w:color w:val="auto"/>
        </w:rPr>
      </w:pPr>
    </w:p>
    <w:p>
      <w:pPr>
        <w:ind w:left="260" w:hanging="219"/>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(6,328,278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​(15,273,231</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260" w:hanging="219"/>
        <w:spacing w:after="0"/>
        <w:tabs>
          <w:tab w:leader="none" w:pos="2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​(11,822,943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​(21,850,627</w:t>
      </w:r>
      <w:r>
        <w:rPr>
          <w:rFonts w:ascii="Times New Roman" w:cs="Times New Roman" w:eastAsia="Times New Roman" w:hAnsi="Times New Roman"/>
          <w:sz w:val="18"/>
          <w:szCs w:val="18"/>
          <w:b w:val="1"/>
          <w:bCs w:val="1"/>
          <w:color w:val="auto"/>
        </w:rPr>
        <w:t>​)</w:t>
      </w:r>
    </w:p>
    <w:p>
      <w:pPr>
        <w:spacing w:after="0" w:line="49" w:lineRule="exact"/>
        <w:rPr>
          <w:rFonts w:ascii="Times New Roman" w:cs="Times New Roman" w:eastAsia="Times New Roman" w:hAnsi="Times New Roman"/>
          <w:sz w:val="18"/>
          <w:szCs w:val="18"/>
          <w:b w:val="1"/>
          <w:bCs w:val="1"/>
          <w:color w:val="auto"/>
        </w:rPr>
      </w:pPr>
    </w:p>
    <w:p>
      <w:pPr>
        <w:ind w:left="260" w:hanging="219"/>
        <w:spacing w:after="0"/>
        <w:tabs>
          <w:tab w:leader="none" w:pos="2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(8,080,514​​​​) ​(14,651,941​)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2,000,677​​​​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716,554​</w:t>
            </w:r>
          </w:p>
        </w:tc>
        <w:tc>
          <w:tcPr>
            <w:tcW w:w="0" w:type="dxa"/>
            <w:vAlign w:val="bottom"/>
          </w:tcPr>
          <w:p>
            <w:pPr>
              <w:spacing w:after="0"/>
              <w:rPr>
                <w:sz w:val="1"/>
                <w:szCs w:val="1"/>
                <w:color w:val="auto"/>
              </w:rPr>
            </w:pPr>
          </w:p>
        </w:tc>
      </w:tr>
      <w:tr>
        <w:trPr>
          <w:trHeight w:val="180"/>
        </w:trPr>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1"/>
              <w:spacing w:after="0" w:line="181" w:lineRule="exact"/>
              <w:rPr>
                <w:sz w:val="20"/>
                <w:szCs w:val="20"/>
                <w:color w:val="auto"/>
              </w:rPr>
            </w:pPr>
            <w:r>
              <w:rPr>
                <w:rFonts w:ascii="Times New Roman" w:cs="Times New Roman" w:eastAsia="Times New Roman" w:hAnsi="Times New Roman"/>
                <w:sz w:val="18"/>
                <w:szCs w:val="18"/>
                <w:color w:val="auto"/>
              </w:rPr>
              <w:t>(365,630)</w:t>
            </w: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(523,317)</w:t>
            </w:r>
          </w:p>
        </w:tc>
        <w:tc>
          <w:tcPr>
            <w:tcW w:w="0" w:type="dxa"/>
            <w:vAlign w:val="bottom"/>
          </w:tcPr>
          <w:p>
            <w:pPr>
              <w:spacing w:after="0"/>
              <w:rPr>
                <w:sz w:val="1"/>
                <w:szCs w:val="1"/>
                <w:color w:val="auto"/>
              </w:rPr>
            </w:pPr>
          </w:p>
        </w:tc>
      </w:tr>
      <w:tr>
        <w:trPr>
          <w:trHeight w:val="54"/>
        </w:trPr>
        <w:tc>
          <w:tcPr>
            <w:tcW w:w="2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1,635,047</w:t>
            </w: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193,237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260" w:hanging="219"/>
        <w:spacing w:after="0"/>
        <w:tabs>
          <w:tab w:leader="none" w:pos="2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(6,445,467​​​​) ​(14,458,704​)</w:t>
      </w:r>
    </w:p>
    <w:p>
      <w:pPr>
        <w:spacing w:after="0" w:line="44" w:lineRule="exact"/>
        <w:rPr>
          <w:rFonts w:ascii="Times New Roman" w:cs="Times New Roman" w:eastAsia="Times New Roman" w:hAnsi="Times New Roman"/>
          <w:sz w:val="18"/>
          <w:szCs w:val="18"/>
          <w:b w:val="1"/>
          <w:bCs w:val="1"/>
          <w:color w:val="auto"/>
        </w:rPr>
      </w:pPr>
    </w:p>
    <w:p>
      <w:pPr>
        <w:ind w:left="260" w:hanging="219"/>
        <w:spacing w:after="0"/>
        <w:tabs>
          <w:tab w:leader="none" w:pos="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139,454​​​​ ​ 1,200,855​</w:t>
      </w:r>
    </w:p>
    <w:p>
      <w:pPr>
        <w:ind w:left="260"/>
        <w:spacing w:after="0" w:line="182" w:lineRule="auto"/>
        <w:tabs>
          <w:tab w:leader="none" w:pos="1360" w:val="left"/>
        </w:tabs>
        <w:rPr>
          <w:sz w:val="20"/>
          <w:szCs w:val="20"/>
          <w:color w:val="auto"/>
        </w:rPr>
      </w:pPr>
      <w:r>
        <w:rPr>
          <w:rFonts w:ascii="Times New Roman" w:cs="Times New Roman" w:eastAsia="Times New Roman" w:hAnsi="Times New Roman"/>
          <w:sz w:val="12"/>
          <w:szCs w:val="12"/>
          <w:b w:val="1"/>
          <w:bCs w:val="1"/>
          <w:color w:val="auto"/>
        </w:rPr>
        <w:t>​ (6,306,013)</w:t>
      </w:r>
      <w:r>
        <w:rPr>
          <w:sz w:val="20"/>
          <w:szCs w:val="20"/>
          <w:color w:val="auto"/>
        </w:rPr>
        <w:tab/>
      </w:r>
      <w:r>
        <w:rPr>
          <w:rFonts w:ascii="Times New Roman" w:cs="Times New Roman" w:eastAsia="Times New Roman" w:hAnsi="Times New Roman"/>
          <w:sz w:val="12"/>
          <w:szCs w:val="12"/>
          <w:b w:val="1"/>
          <w:bCs w:val="1"/>
          <w:u w:val="single" w:color="auto"/>
          <w:color w:val="auto"/>
        </w:rPr>
        <w:t>​(13,257,849</w:t>
      </w:r>
      <w:r>
        <w:rPr>
          <w:rFonts w:ascii="Times New Roman" w:cs="Times New Roman" w:eastAsia="Times New Roman" w:hAnsi="Times New Roman"/>
          <w:sz w:val="12"/>
          <w:szCs w:val="12"/>
          <w:b w:val="1"/>
          <w:bCs w:val="1"/>
          <w:color w:val="auto"/>
        </w:rPr>
        <w:t>)</w:t>
      </w:r>
    </w:p>
    <w:p>
      <w:pPr>
        <w:spacing w:after="0" w:line="1" w:lineRule="exact"/>
        <w:rPr>
          <w:sz w:val="20"/>
          <w:szCs w:val="20"/>
          <w:color w:val="auto"/>
        </w:rPr>
      </w:pPr>
    </w:p>
    <w:p>
      <w:pPr>
        <w:ind w:left="40"/>
        <w:spacing w:after="0"/>
        <w:tabs>
          <w:tab w:leader="none" w:pos="1100" w:val="left"/>
          <w:tab w:leader="none" w:pos="2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wp:posOffset>
            </wp:positionV>
            <wp:extent cx="13284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(90,332)  ​</w:t>
            </w: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60" w:hanging="219"/>
        <w:spacing w:after="0"/>
        <w:tabs>
          <w:tab w:leader="none" w:pos="2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(6,215,681​​​​) ​(13,258,029​)</w:t>
      </w:r>
    </w:p>
    <w:p>
      <w:pPr>
        <w:spacing w:after="0" w:line="53" w:lineRule="exact"/>
        <w:rPr>
          <w:rFonts w:ascii="Times New Roman" w:cs="Times New Roman" w:eastAsia="Times New Roman" w:hAnsi="Times New Roman"/>
          <w:sz w:val="18"/>
          <w:szCs w:val="18"/>
          <w:b w:val="1"/>
          <w:bCs w:val="1"/>
          <w:color w:val="auto"/>
        </w:rPr>
      </w:pPr>
    </w:p>
    <w:p>
      <w:pPr>
        <w:ind w:left="260" w:hanging="219"/>
        <w:spacing w:after="0"/>
        <w:tabs>
          <w:tab w:leader="none" w:pos="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​(25,296,874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​(43,914,707</w:t>
      </w:r>
      <w:r>
        <w:rPr>
          <w:rFonts w:ascii="Times New Roman" w:cs="Times New Roman" w:eastAsia="Times New Roman" w:hAnsi="Times New Roman"/>
          <w:sz w:val="18"/>
          <w:szCs w:val="18"/>
          <w:color w:val="auto"/>
        </w:rPr>
        <w:t>)​</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​(31,512,555)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​(57,172,736)</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73"/>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177,986​​​​</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5,253,255​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4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(6,125,824) $ (8,004,595)</w:t>
            </w:r>
          </w:p>
        </w:tc>
        <w:tc>
          <w:tcPr>
            <w:tcW w:w="0" w:type="dxa"/>
            <w:vAlign w:val="bottom"/>
          </w:tcPr>
          <w:p>
            <w:pPr>
              <w:spacing w:after="0"/>
              <w:rPr>
                <w:sz w:val="1"/>
                <w:szCs w:val="1"/>
                <w:color w:val="auto"/>
              </w:rPr>
            </w:pPr>
          </w:p>
        </w:tc>
      </w:tr>
      <w:tr>
        <w:trPr>
          <w:trHeight w:val="54"/>
        </w:trPr>
        <w:tc>
          <w:tcPr>
            <w:tcW w:w="1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(88,129​​​​)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7"/>
        </w:trPr>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 (6,037,695​​​​)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(8,004,774)​</w:t>
            </w:r>
          </w:p>
        </w:tc>
        <w:tc>
          <w:tcPr>
            <w:tcW w:w="0" w:type="dxa"/>
            <w:vAlign w:val="bottom"/>
          </w:tcPr>
          <w:p>
            <w:pPr>
              <w:spacing w:after="0"/>
              <w:rPr>
                <w:sz w:val="1"/>
                <w:szCs w:val="1"/>
                <w:color w:val="auto"/>
              </w:rPr>
            </w:pPr>
          </w:p>
        </w:tc>
      </w:tr>
      <w:tr>
        <w:trPr>
          <w:trHeight w:val="257"/>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7"/>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​34,987,683​​​​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​37,124,622​</w:t>
            </w:r>
          </w:p>
        </w:tc>
        <w:tc>
          <w:tcPr>
            <w:tcW w:w="0" w:type="dxa"/>
            <w:vAlign w:val="bottom"/>
          </w:tcPr>
          <w:p>
            <w:pPr>
              <w:spacing w:after="0"/>
              <w:rPr>
                <w:sz w:val="1"/>
                <w:szCs w:val="1"/>
                <w:color w:val="auto"/>
              </w:rPr>
            </w:pPr>
          </w:p>
        </w:tc>
      </w:tr>
      <w:tr>
        <w:trPr>
          <w:trHeight w:val="257"/>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165,721​​​​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20" w:space="200"/>
            <w:col w:w="2659"/>
          </w:cols>
          <w:pgMar w:left="580" w:top="97" w:right="1440" w:bottom="1440" w:gutter="0" w:footer="0" w:header="0"/>
          <w:type w:val="continuous"/>
        </w:sectPr>
      </w:pPr>
    </w:p>
    <w:p>
      <w:pPr>
        <w:spacing w:after="0" w:line="155" w:lineRule="exact"/>
        <w:rPr>
          <w:sz w:val="20"/>
          <w:szCs w:val="20"/>
          <w:color w:val="auto"/>
        </w:rPr>
      </w:pPr>
    </w:p>
    <w:p>
      <w:pPr>
        <w:ind w:left="1620" w:hanging="360"/>
        <w:spacing w:after="0"/>
        <w:tabs>
          <w:tab w:leader="none" w:pos="16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per share data are presented on a retroactive basis to reflect the reorganization and stock split (Note 1 &amp; Note 14).</w:t>
      </w:r>
    </w:p>
    <w:p>
      <w:pPr>
        <w:spacing w:after="0" w:line="10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4"/>
              </w:rPr>
              <w:t>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Treasury Shares</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1"/>
              </w:rPr>
              <w:t>Additional</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comprehensive</w:t>
            </w:r>
          </w:p>
        </w:tc>
        <w:tc>
          <w:tcPr>
            <w:tcW w:w="106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shareholders’</w:t>
            </w:r>
          </w:p>
        </w:tc>
        <w:tc>
          <w:tcPr>
            <w:tcW w:w="50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4"/>
            <w:vMerge w:val="restart"/>
          </w:tcPr>
          <w:p>
            <w:pPr>
              <w:jc w:val="right"/>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0"/>
              </w:rPr>
              <w:t>Subscription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paid in</w:t>
            </w:r>
          </w:p>
        </w:tc>
        <w:tc>
          <w:tcPr>
            <w:tcW w:w="260" w:type="dxa"/>
            <w:vAlign w:val="bottom"/>
          </w:tcPr>
          <w:p>
            <w:pPr>
              <w:spacing w:after="0"/>
              <w:rPr>
                <w:sz w:val="5"/>
                <w:szCs w:val="5"/>
                <w:color w:val="auto"/>
              </w:rPr>
            </w:pPr>
          </w:p>
        </w:tc>
        <w:tc>
          <w:tcPr>
            <w:tcW w:w="500" w:type="dxa"/>
            <w:vAlign w:val="bottom"/>
            <w:gridSpan w:val="2"/>
            <w:vMerge w:val="restart"/>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87"/>
              </w:rPr>
              <w:t>Statutory</w:t>
            </w:r>
          </w:p>
        </w:tc>
        <w:tc>
          <w:tcPr>
            <w:tcW w:w="1040" w:type="dxa"/>
            <w:vAlign w:val="bottom"/>
            <w:gridSpan w:val="5"/>
            <w:vMerge w:val="restart"/>
          </w:tcPr>
          <w:p>
            <w:pPr>
              <w:jc w:val="center"/>
              <w:ind w:right="217"/>
              <w:spacing w:after="0" w:line="128" w:lineRule="exact"/>
              <w:rPr>
                <w:sz w:val="20"/>
                <w:szCs w:val="20"/>
                <w:color w:val="auto"/>
              </w:rPr>
            </w:pPr>
            <w:r>
              <w:rPr>
                <w:rFonts w:ascii="Times New Roman" w:cs="Times New Roman" w:eastAsia="Times New Roman" w:hAnsi="Times New Roman"/>
                <w:sz w:val="13"/>
                <w:szCs w:val="13"/>
                <w:b w:val="1"/>
                <w:bCs w:val="1"/>
                <w:color w:val="auto"/>
                <w:w w:val="92"/>
              </w:rPr>
              <w:t>Accumulated</w:t>
            </w:r>
          </w:p>
        </w:tc>
        <w:tc>
          <w:tcPr>
            <w:tcW w:w="620" w:type="dxa"/>
            <w:vAlign w:val="bottom"/>
            <w:vMerge w:val="restart"/>
          </w:tcPr>
          <w:p>
            <w:pPr>
              <w:jc w:val="center"/>
              <w:ind w:right="137"/>
              <w:spacing w:after="0" w:line="128" w:lineRule="exact"/>
              <w:rPr>
                <w:sz w:val="20"/>
                <w:szCs w:val="20"/>
                <w:color w:val="auto"/>
              </w:rPr>
            </w:pPr>
            <w:r>
              <w:rPr>
                <w:rFonts w:ascii="Times New Roman" w:cs="Times New Roman" w:eastAsia="Times New Roman" w:hAnsi="Times New Roman"/>
                <w:sz w:val="13"/>
                <w:szCs w:val="13"/>
                <w:b w:val="1"/>
                <w:bCs w:val="1"/>
                <w:color w:val="auto"/>
                <w:w w:val="89"/>
              </w:rPr>
              <w:t>(loss)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260" w:type="dxa"/>
            <w:vAlign w:val="bottom"/>
          </w:tcPr>
          <w:p>
            <w:pPr>
              <w:spacing w:after="0"/>
              <w:rPr>
                <w:sz w:val="5"/>
                <w:szCs w:val="5"/>
                <w:color w:val="auto"/>
              </w:rPr>
            </w:pPr>
          </w:p>
        </w:tc>
        <w:tc>
          <w:tcPr>
            <w:tcW w:w="64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controlling</w:t>
            </w:r>
          </w:p>
        </w:tc>
        <w:tc>
          <w:tcPr>
            <w:tcW w:w="100" w:type="dxa"/>
            <w:vAlign w:val="bottom"/>
          </w:tcPr>
          <w:p>
            <w:pPr>
              <w:spacing w:after="0"/>
              <w:rPr>
                <w:sz w:val="5"/>
                <w:szCs w:val="5"/>
                <w:color w:val="auto"/>
              </w:rPr>
            </w:pPr>
          </w:p>
        </w:tc>
        <w:tc>
          <w:tcPr>
            <w:tcW w:w="760" w:type="dxa"/>
            <w:vAlign w:val="bottom"/>
            <w:gridSpan w:val="3"/>
            <w:vMerge w:val="restart"/>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1"/>
              </w:rPr>
              <w:t>Total equity</w:t>
            </w: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Amount </w:t>
            </w:r>
            <w:r>
              <w:rPr>
                <w:rFonts w:ascii="Times New Roman" w:cs="Times New Roman" w:eastAsia="Times New Roman" w:hAnsi="Times New Roman"/>
                <w:sz w:val="22"/>
                <w:szCs w:val="22"/>
                <w:b w:val="1"/>
                <w:bCs w:val="1"/>
                <w:color w:val="auto"/>
                <w:vertAlign w:val="subscript"/>
              </w:rPr>
              <w:t>​​</w:t>
            </w:r>
          </w:p>
        </w:tc>
        <w:tc>
          <w:tcPr>
            <w:tcW w:w="116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Amount </w:t>
            </w:r>
            <w:r>
              <w:rPr>
                <w:rFonts w:ascii="Times New Roman" w:cs="Times New Roman" w:eastAsia="Times New Roman" w:hAnsi="Times New Roman"/>
                <w:sz w:val="22"/>
                <w:szCs w:val="22"/>
                <w:b w:val="1"/>
                <w:bCs w:val="1"/>
                <w:color w:val="auto"/>
                <w:vertAlign w:val="subscript"/>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88"/>
              </w:rPr>
              <w:t>receivable</w:t>
            </w:r>
          </w:p>
        </w:tc>
        <w:tc>
          <w:tcPr>
            <w:tcW w:w="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capital</w:t>
            </w:r>
          </w:p>
        </w:tc>
        <w:tc>
          <w:tcPr>
            <w:tcW w:w="2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reserve</w:t>
            </w:r>
          </w:p>
        </w:tc>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00" w:type="dxa"/>
            <w:vAlign w:val="bottom"/>
          </w:tcPr>
          <w:p>
            <w:pPr>
              <w:spacing w:after="0"/>
              <w:rPr>
                <w:sz w:val="17"/>
                <w:szCs w:val="17"/>
                <w:color w:val="auto"/>
              </w:rPr>
            </w:pPr>
          </w:p>
        </w:tc>
        <w:tc>
          <w:tcPr>
            <w:tcW w:w="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6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interests</w:t>
            </w:r>
          </w:p>
        </w:tc>
        <w:tc>
          <w:tcPr>
            <w:tcW w:w="2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(deficit)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189"/>
        </w:trPr>
        <w:tc>
          <w:tcPr>
            <w:tcW w:w="1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18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​​33,451,005 ​​ ​$3,345</w:t>
            </w:r>
          </w:p>
        </w:tc>
        <w:tc>
          <w:tcPr>
            <w:tcW w:w="7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​​​​(3,488,639)​​</w:t>
            </w:r>
          </w:p>
        </w:tc>
        <w:tc>
          <w:tcPr>
            <w:tcW w:w="540" w:type="dxa"/>
            <w:vAlign w:val="bottom"/>
            <w:tcBorders>
              <w:right w:val="single" w:sz="8" w:color="CCEEFF"/>
            </w:tcBorders>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​$(436) ​​​</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(2,909)</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xml:space="preserve">16,767,417 ​​​​$ </w:t>
            </w:r>
            <w:r>
              <w:rPr>
                <w:rFonts w:ascii="Times New Roman" w:cs="Times New Roman" w:eastAsia="Times New Roman" w:hAnsi="Times New Roman"/>
                <w:sz w:val="13"/>
                <w:szCs w:val="13"/>
                <w:color w:val="auto"/>
              </w:rPr>
              <w:t>72,420</w:t>
            </w:r>
          </w:p>
        </w:tc>
        <w:tc>
          <w:tcPr>
            <w:tcW w:w="104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​​​​$(14,671,088)​​​ ​$</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(5,871)​​​ ​$</w:t>
            </w:r>
          </w:p>
        </w:tc>
        <w:tc>
          <w:tcPr>
            <w:tcW w:w="15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2,162,878 ​​​​$ 6,347,693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8,510,571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Share-based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165,721 ​​​​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165,721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165,721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4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Borders>
              <w:right w:val="single" w:sz="8" w:color="CCEEFF"/>
            </w:tcBorders>
            <w:gridSpan w:val="2"/>
            <w:shd w:val="clear" w:color="auto" w:fill="CCEEFF"/>
          </w:tcPr>
          <w:p>
            <w:pPr>
              <w:ind w:left="20"/>
              <w:spacing w:after="0" w:line="244"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760" w:type="dxa"/>
            <w:vAlign w:val="bottom"/>
            <w:gridSpan w:val="2"/>
            <w:shd w:val="clear" w:color="auto" w:fill="CCEEFF"/>
          </w:tcPr>
          <w:p>
            <w:pPr>
              <w:jc w:val="center"/>
              <w:ind w:left="297"/>
              <w:spacing w:after="0" w:line="244"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3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CEEFF"/>
            </w:tcBorders>
            <w:shd w:val="clear" w:color="auto" w:fill="CCEEFF"/>
          </w:tcPr>
          <w:p>
            <w:pPr>
              <w:jc w:val="right"/>
              <w:spacing w:after="0" w:line="244"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20" w:type="dxa"/>
            <w:vAlign w:val="bottom"/>
            <w:tcBorders>
              <w:right w:val="single" w:sz="8" w:color="CCEEFF"/>
            </w:tcBorders>
            <w:shd w:val="clear" w:color="auto" w:fill="CCEEFF"/>
          </w:tcPr>
          <w:p>
            <w:pPr>
              <w:jc w:val="right"/>
              <w:spacing w:after="0" w:line="244"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p>
        </w:tc>
        <w:tc>
          <w:tcPr>
            <w:tcW w:w="140" w:type="dxa"/>
            <w:vAlign w:val="bottom"/>
            <w:shd w:val="clear" w:color="auto" w:fill="CCEEFF"/>
          </w:tcPr>
          <w:p>
            <w:pPr>
              <w:spacing w:after="0" w:line="2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20"/>
              <w:spacing w:after="0" w:line="2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shd w:val="clear" w:color="auto" w:fill="CCEEFF"/>
          </w:tcPr>
          <w:p>
            <w:pPr>
              <w:spacing w:after="0" w:line="2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40"/>
              <w:spacing w:after="0" w:line="244"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340" w:type="dxa"/>
            <w:vAlign w:val="bottom"/>
            <w:gridSpan w:val="6"/>
            <w:shd w:val="clear" w:color="auto" w:fill="CCEEFF"/>
          </w:tcPr>
          <w:p>
            <w:pPr>
              <w:jc w:val="right"/>
              <w:spacing w:after="0" w:line="2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(6,215,681)</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1680" w:type="dxa"/>
            <w:vAlign w:val="bottom"/>
            <w:gridSpan w:val="6"/>
            <w:shd w:val="clear" w:color="auto" w:fill="CCEEFF"/>
          </w:tcPr>
          <w:p>
            <w:pPr>
              <w:jc w:val="right"/>
              <w:spacing w:after="0" w:line="244"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(6,215,681)</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1280" w:type="dxa"/>
            <w:vAlign w:val="bottom"/>
            <w:gridSpan w:val="4"/>
            <w:shd w:val="clear" w:color="auto" w:fill="CCEEFF"/>
          </w:tcPr>
          <w:p>
            <w:pPr>
              <w:jc w:val="right"/>
              <w:spacing w:after="0" w:line="244" w:lineRule="exact"/>
              <w:rPr>
                <w:sz w:val="20"/>
                <w:szCs w:val="20"/>
                <w:color w:val="auto"/>
              </w:rPr>
            </w:pPr>
            <w:r>
              <w:rPr>
                <w:rFonts w:ascii="Times New Roman" w:cs="Times New Roman" w:eastAsia="Times New Roman" w:hAnsi="Times New Roman"/>
                <w:sz w:val="13"/>
                <w:szCs w:val="13"/>
                <w:color w:val="auto"/>
              </w:rPr>
              <w:t>(90,332)</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(6,306,013)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 asset acquisition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 2021</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3,712,374 ​​ ​ ​</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(371)</w:t>
            </w:r>
          </w:p>
        </w:tc>
        <w:tc>
          <w:tcPr>
            <w:tcW w:w="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w:t>
            </w: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 ​(1,259,798)​​​ ​ </w:t>
            </w:r>
            <w:r>
              <w:rPr>
                <w:rFonts w:ascii="Times New Roman" w:cs="Times New Roman" w:eastAsia="Times New Roman" w:hAnsi="Times New Roman"/>
                <w:sz w:val="13"/>
                <w:szCs w:val="13"/>
                <w:b w:val="1"/>
                <w:bCs w:val="1"/>
                <w:color w:val="auto"/>
              </w:rPr>
              <w:t>​ (1,259,798)</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3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40" w:type="dxa"/>
            <w:vAlign w:val="bottom"/>
            <w:shd w:val="clear" w:color="auto" w:fill="CCEEFF"/>
          </w:tcPr>
          <w:p>
            <w:pPr>
              <w:spacing w:after="0"/>
              <w:rPr>
                <w:sz w:val="14"/>
                <w:szCs w:val="14"/>
                <w:color w:val="auto"/>
              </w:rPr>
            </w:pPr>
          </w:p>
        </w:tc>
        <w:tc>
          <w:tcPr>
            <w:tcW w:w="1680" w:type="dxa"/>
            <w:vAlign w:val="bottom"/>
            <w:gridSpan w:val="6"/>
            <w:vMerge w:val="continue"/>
            <w:shd w:val="clear" w:color="auto" w:fill="CCEEFF"/>
          </w:tcPr>
          <w:p>
            <w:pPr>
              <w:spacing w:after="0"/>
              <w:rPr>
                <w:sz w:val="14"/>
                <w:szCs w:val="14"/>
                <w:color w:val="auto"/>
              </w:rPr>
            </w:pP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5"/>
        </w:trPr>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Accretion of mezzanine </w:t>
            </w: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 ​(16,933,138)​​​​ ​</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 ​ (8,363,736)​​​ ​ ​</w:t>
            </w:r>
          </w:p>
        </w:tc>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 ​ ​(25,296,874)​​​​ ​</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​(25,296,874)</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translation</w:t>
            </w: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net of nil</w:t>
            </w:r>
          </w:p>
        </w:tc>
        <w:tc>
          <w:tcPr>
            <w:tcW w:w="12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760" w:type="dxa"/>
            <w:vAlign w:val="bottom"/>
            <w:gridSpan w:val="2"/>
            <w:vMerge w:val="restart"/>
            <w:shd w:val="clear" w:color="auto" w:fill="CCEEFF"/>
          </w:tcPr>
          <w:p>
            <w:pPr>
              <w:jc w:val="center"/>
              <w:ind w:left="297"/>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5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8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8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xml:space="preserve">177,986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177,986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2,203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180,189</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CCEEFF"/>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240" w:type="dxa"/>
            <w:vAlign w:val="bottom"/>
            <w:tcBorders>
              <w:right w:val="single" w:sz="8" w:color="CCEEFF"/>
            </w:tcBorders>
            <w:vMerge w:val="continue"/>
            <w:shd w:val="clear" w:color="auto" w:fill="CCEEFF"/>
          </w:tcPr>
          <w:p>
            <w:pPr>
              <w:spacing w:after="0"/>
              <w:rPr>
                <w:sz w:val="16"/>
                <w:szCs w:val="16"/>
                <w:color w:val="auto"/>
              </w:rPr>
            </w:pPr>
          </w:p>
        </w:tc>
        <w:tc>
          <w:tcPr>
            <w:tcW w:w="16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900" w:type="dxa"/>
            <w:vAlign w:val="bottom"/>
            <w:gridSpan w:val="7"/>
            <w:vMerge w:val="restart"/>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​37,163,379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3,716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​(3,488,639)</w:t>
            </w:r>
            <w:r>
              <w:rPr>
                <w:rFonts w:ascii="Times New Roman" w:cs="Times New Roman" w:eastAsia="Times New Roman" w:hAnsi="Times New Roman"/>
                <w:sz w:val="25"/>
                <w:szCs w:val="25"/>
                <w:b w:val="1"/>
                <w:bCs w:val="1"/>
                <w:color w:val="auto"/>
                <w:vertAlign w:val="subscript"/>
              </w:rPr>
              <w:t>​​</w:t>
            </w:r>
          </w:p>
        </w:tc>
        <w:tc>
          <w:tcPr>
            <w:tcW w:w="540" w:type="dxa"/>
            <w:vAlign w:val="bottom"/>
            <w:gridSpan w:val="4"/>
            <w:vMerge w:val="restart"/>
          </w:tcPr>
          <w:p>
            <w:pPr>
              <w:jc w:val="right"/>
              <w:ind w:right="17"/>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(436) </w:t>
            </w:r>
            <w:r>
              <w:rPr>
                <w:rFonts w:ascii="Times New Roman" w:cs="Times New Roman" w:eastAsia="Times New Roman" w:hAnsi="Times New Roman"/>
                <w:sz w:val="25"/>
                <w:szCs w:val="25"/>
                <w:b w:val="1"/>
                <w:bCs w:val="1"/>
                <w:color w:val="auto"/>
                <w:vertAlign w:val="subscript"/>
              </w:rPr>
              <w:t>​​​</w:t>
            </w:r>
          </w:p>
        </w:tc>
        <w:tc>
          <w:tcPr>
            <w:tcW w:w="5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(3,280)</w:t>
            </w:r>
          </w:p>
        </w:tc>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5"/>
                <w:szCs w:val="25"/>
                <w:b w:val="1"/>
                <w:bCs w:val="1"/>
                <w:color w:val="auto"/>
                <w:vertAlign w:val="superscript"/>
              </w:rPr>
              <w:t>$</w:t>
            </w:r>
          </w:p>
        </w:tc>
        <w:tc>
          <w:tcPr>
            <w:tcW w:w="420" w:type="dxa"/>
            <w:vAlign w:val="bottom"/>
          </w:tcPr>
          <w:p>
            <w:pPr>
              <w:spacing w:after="0"/>
              <w:rPr>
                <w:sz w:val="17"/>
                <w:szCs w:val="17"/>
                <w:color w:val="auto"/>
              </w:rPr>
            </w:pPr>
          </w:p>
        </w:tc>
        <w:tc>
          <w:tcPr>
            <w:tcW w:w="1800" w:type="dxa"/>
            <w:vAlign w:val="bottom"/>
            <w:gridSpan w:val="8"/>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$ 72,420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(29,250,505)</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w:t>
            </w:r>
          </w:p>
        </w:tc>
        <w:tc>
          <w:tcPr>
            <w:tcW w:w="3040" w:type="dxa"/>
            <w:vAlign w:val="bottom"/>
            <w:gridSpan w:val="11"/>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172,115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(29,005,970)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$ 4,999,766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(24,006,204)</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196"/>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900" w:type="dxa"/>
            <w:vAlign w:val="bottom"/>
            <w:gridSpan w:val="7"/>
            <w:vMerge w:val="continue"/>
          </w:tcPr>
          <w:p>
            <w:pPr>
              <w:spacing w:after="0"/>
              <w:rPr>
                <w:sz w:val="17"/>
                <w:szCs w:val="17"/>
                <w:color w:val="auto"/>
              </w:rPr>
            </w:pPr>
          </w:p>
        </w:tc>
        <w:tc>
          <w:tcPr>
            <w:tcW w:w="540" w:type="dxa"/>
            <w:vAlign w:val="bottom"/>
            <w:gridSpan w:val="4"/>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8"/>
            <w:vMerge w:val="continue"/>
          </w:tcPr>
          <w:p>
            <w:pPr>
              <w:spacing w:after="0"/>
              <w:rPr>
                <w:sz w:val="17"/>
                <w:szCs w:val="17"/>
                <w:color w:val="auto"/>
              </w:rPr>
            </w:pPr>
          </w:p>
        </w:tc>
        <w:tc>
          <w:tcPr>
            <w:tcW w:w="304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w:t>
            </w: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right w:val="single" w:sz="8" w:color="CCEEFF"/>
            </w:tcBorders>
            <w:gridSpan w:val="4"/>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13"/>
                <w:szCs w:val="13"/>
                <w:color w:val="auto"/>
              </w:rPr>
              <w:t xml:space="preserve"> ​​​</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right w:val="single" w:sz="8" w:color="CCEEFF"/>
            </w:tcBorders>
            <w:gridSpan w:val="4"/>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6,122,348 ​​​​ ​</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6,122,348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6,122,348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760" w:type="dxa"/>
            <w:vAlign w:val="bottom"/>
            <w:gridSpan w:val="2"/>
          </w:tcPr>
          <w:p>
            <w:pPr>
              <w:jc w:val="center"/>
              <w:ind w:left="297"/>
              <w:spacing w:after="0" w:line="257"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spacing w:after="0" w:line="257"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Pr>
          <w:p>
            <w:pPr>
              <w:jc w:val="right"/>
              <w:spacing w:after="0" w:line="257"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p>
        </w:tc>
        <w:tc>
          <w:tcPr>
            <w:tcW w:w="140" w:type="dxa"/>
            <w:vAlign w:val="bottom"/>
          </w:tcPr>
          <w:p>
            <w:pPr>
              <w:spacing w:after="0" w:line="25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line="25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3"/>
          </w:tcPr>
          <w:p>
            <w:pPr>
              <w:spacing w:after="0" w:line="25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tcPr>
          <w:p>
            <w:pPr>
              <w:spacing w:after="0"/>
              <w:rPr>
                <w:sz w:val="22"/>
                <w:szCs w:val="22"/>
                <w:color w:val="auto"/>
              </w:rPr>
            </w:pPr>
          </w:p>
        </w:tc>
        <w:tc>
          <w:tcPr>
            <w:tcW w:w="460" w:type="dxa"/>
            <w:vAlign w:val="bottom"/>
            <w:gridSpan w:val="2"/>
          </w:tcPr>
          <w:p>
            <w:pPr>
              <w:jc w:val="right"/>
              <w:ind w:right="40"/>
              <w:spacing w:after="0" w:line="257"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340" w:type="dxa"/>
            <w:vAlign w:val="bottom"/>
            <w:gridSpan w:val="6"/>
          </w:tcPr>
          <w:p>
            <w:pPr>
              <w:jc w:val="right"/>
              <w:spacing w:after="0" w:line="25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​(13,258,029)</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1680" w:type="dxa"/>
            <w:vAlign w:val="bottom"/>
            <w:gridSpan w:val="6"/>
          </w:tcPr>
          <w:p>
            <w:pPr>
              <w:jc w:val="right"/>
              <w:spacing w:after="0" w:line="25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​(13,258,029)</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1360" w:type="dxa"/>
            <w:vAlign w:val="bottom"/>
            <w:gridSpan w:val="5"/>
          </w:tcPr>
          <w:p>
            <w:pPr>
              <w:jc w:val="right"/>
              <w:spacing w:after="0" w:line="257" w:lineRule="exact"/>
              <w:rPr>
                <w:sz w:val="20"/>
                <w:szCs w:val="20"/>
                <w:color w:val="auto"/>
              </w:rPr>
            </w:pPr>
            <w:r>
              <w:rPr>
                <w:rFonts w:ascii="Times New Roman" w:cs="Times New Roman" w:eastAsia="Times New Roman" w:hAnsi="Times New Roman"/>
                <w:sz w:val="13"/>
                <w:szCs w:val="13"/>
                <w:color w:val="auto"/>
              </w:rPr>
              <w:t xml:space="preserve">180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​(13,257,849)</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mezzanine</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gridSpan w:val="4"/>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13"/>
                <w:szCs w:val="13"/>
                <w:color w:val="auto"/>
              </w:rPr>
              <w:t xml:space="preserve"> ​​​</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right w:val="single" w:sz="8" w:color="CCEEFF"/>
            </w:tcBorders>
            <w:gridSpan w:val="4"/>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1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 ​ (6,122,348)​​​​ ​</w:t>
            </w: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​(37,792,359)​​​ ​ ​</w:t>
            </w:r>
          </w:p>
        </w:tc>
        <w:tc>
          <w:tcPr>
            <w:tcW w:w="1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​(43,914,707)​​​​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​(43,914,707)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 ​​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3,488,639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436</w:t>
            </w: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(436)</w:t>
            </w:r>
          </w:p>
        </w:tc>
        <w:tc>
          <w:tcPr>
            <w:tcW w:w="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translation</w:t>
            </w:r>
          </w:p>
        </w:tc>
        <w:tc>
          <w:tcPr>
            <w:tcW w:w="12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760" w:type="dxa"/>
            <w:vAlign w:val="bottom"/>
            <w:gridSpan w:val="2"/>
            <w:vMerge w:val="restart"/>
            <w:shd w:val="clear" w:color="auto" w:fill="CCEEFF"/>
          </w:tcPr>
          <w:p>
            <w:pPr>
              <w:jc w:val="center"/>
              <w:ind w:left="297"/>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b w:val="1"/>
                <w:bCs w:val="1"/>
                <w:color w:val="auto"/>
              </w:rPr>
              <w:t xml:space="preserve"> ​</w:t>
            </w:r>
          </w:p>
        </w:tc>
        <w:tc>
          <w:tcPr>
            <w:tcW w:w="400" w:type="dxa"/>
            <w:vAlign w:val="bottom"/>
            <w:tcBorders>
              <w:right w:val="single" w:sz="8" w:color="CCEEFF"/>
            </w:tcBorders>
            <w:gridSpan w:val="3"/>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color w:val="auto"/>
              </w:rPr>
              <w:t xml:space="preserve"> ​​​</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b w:val="1"/>
                <w:bCs w:val="1"/>
                <w:color w:val="auto"/>
              </w:rPr>
              <w:t xml:space="preserve"> ​</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5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80" w:type="dxa"/>
            <w:vAlign w:val="bottom"/>
            <w:shd w:val="clear" w:color="auto" w:fill="CCEEFF"/>
          </w:tcPr>
          <w:p>
            <w:pPr>
              <w:spacing w:after="0"/>
              <w:rPr>
                <w:sz w:val="14"/>
                <w:szCs w:val="14"/>
                <w:color w:val="auto"/>
              </w:rPr>
            </w:pP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8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xml:space="preserve">5,253,255 </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5,253,255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5,253,254</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12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CCEEFF"/>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00" w:type="dxa"/>
            <w:vAlign w:val="bottom"/>
            <w:tcBorders>
              <w:right w:val="single" w:sz="8" w:color="CCEEFF"/>
            </w:tcBorders>
            <w:gridSpan w:val="3"/>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280" w:type="dxa"/>
            <w:vAlign w:val="bottom"/>
            <w:gridSpan w:val="6"/>
            <w:vMerge w:val="restart"/>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​37,163,379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3,716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5"/>
                <w:szCs w:val="25"/>
                <w:b w:val="1"/>
                <w:bCs w:val="1"/>
                <w:color w:val="auto"/>
                <w:vertAlign w:val="superscript"/>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(3,716)</w:t>
            </w:r>
          </w:p>
        </w:tc>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5"/>
                <w:szCs w:val="25"/>
                <w:b w:val="1"/>
                <w:bCs w:val="1"/>
                <w:color w:val="auto"/>
                <w:vertAlign w:val="superscript"/>
              </w:rPr>
              <w:t>$</w:t>
            </w:r>
          </w:p>
        </w:tc>
        <w:tc>
          <w:tcPr>
            <w:tcW w:w="420" w:type="dxa"/>
            <w:vAlign w:val="bottom"/>
          </w:tcPr>
          <w:p>
            <w:pPr>
              <w:spacing w:after="0"/>
              <w:rPr>
                <w:sz w:val="17"/>
                <w:szCs w:val="17"/>
                <w:color w:val="auto"/>
              </w:rPr>
            </w:pPr>
          </w:p>
        </w:tc>
        <w:tc>
          <w:tcPr>
            <w:tcW w:w="1800" w:type="dxa"/>
            <w:vAlign w:val="bottom"/>
            <w:gridSpan w:val="8"/>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$ 72,420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(80,300,893)</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w:t>
            </w:r>
          </w:p>
        </w:tc>
        <w:tc>
          <w:tcPr>
            <w:tcW w:w="3040" w:type="dxa"/>
            <w:vAlign w:val="bottom"/>
            <w:gridSpan w:val="11"/>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5,425,370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(74,803,103)</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$ 4,999,945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(69,803,158)</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196"/>
        </w:trPr>
        <w:tc>
          <w:tcPr>
            <w:tcW w:w="1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80" w:type="dxa"/>
            <w:vAlign w:val="bottom"/>
            <w:gridSpan w:val="6"/>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8"/>
            <w:vMerge w:val="continue"/>
          </w:tcPr>
          <w:p>
            <w:pPr>
              <w:spacing w:after="0"/>
              <w:rPr>
                <w:sz w:val="17"/>
                <w:szCs w:val="17"/>
                <w:color w:val="auto"/>
              </w:rPr>
            </w:pPr>
          </w:p>
        </w:tc>
        <w:tc>
          <w:tcPr>
            <w:tcW w:w="304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6466205</wp:posOffset>
            </wp:positionH>
            <wp:positionV relativeFrom="paragraph">
              <wp:posOffset>-299720</wp:posOffset>
            </wp:positionV>
            <wp:extent cx="260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-299720</wp:posOffset>
            </wp:positionV>
            <wp:extent cx="342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-1816735</wp:posOffset>
            </wp:positionV>
            <wp:extent cx="260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-1816735</wp:posOffset>
            </wp:positionV>
            <wp:extent cx="342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-3702685</wp:posOffset>
            </wp:positionV>
            <wp:extent cx="171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-3702685</wp:posOffset>
            </wp:positionV>
            <wp:extent cx="171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-3702685</wp:posOffset>
            </wp:positionV>
            <wp:extent cx="1714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-3702685</wp:posOffset>
            </wp:positionV>
            <wp:extent cx="8312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-3702685</wp:posOffset>
            </wp:positionV>
            <wp:extent cx="342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-3702685</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-3702685</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-3702685</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-3702685</wp:posOffset>
            </wp:positionV>
            <wp:extent cx="171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-3702685</wp:posOffset>
            </wp:positionV>
            <wp:extent cx="171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-3702685</wp:posOffset>
            </wp:positionV>
            <wp:extent cx="1714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-3702685</wp:posOffset>
            </wp:positionV>
            <wp:extent cx="342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0"/>
          <w:szCs w:val="20"/>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per share data are presented on a retroactive basis to reflect the reorganization and stock split (Note 1 &amp;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5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200" w:type="dxa"/>
            <w:vAlign w:val="bottom"/>
            <w:gridSpan w:val="11"/>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For the years ended December 31,​</w:t>
            </w:r>
          </w:p>
        </w:tc>
      </w:tr>
      <w:tr>
        <w:trPr>
          <w:trHeight w:val="169"/>
        </w:trPr>
        <w:tc>
          <w:tcPr>
            <w:tcW w:w="584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CCEEFF"/>
            </w:tcBorders>
          </w:tcPr>
          <w:p>
            <w:pPr>
              <w:ind w:left="4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4"/>
              <w:spacing w:after="0" w:line="169" w:lineRule="exact"/>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shd w:val="clear" w:color="auto" w:fill="CCEEFF"/>
          </w:tcPr>
          <w:p>
            <w:pPr>
              <w:ind w:left="80"/>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gridSpan w:val="2"/>
            <w:shd w:val="clear" w:color="auto" w:fill="CCEEFF"/>
          </w:tcPr>
          <w:p>
            <w:pPr>
              <w:ind w:left="60"/>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(6,306,013)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 (13,257,849)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0" w:type="dxa"/>
            <w:vAlign w:val="bottom"/>
            <w:tcBorders>
              <w:top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165,721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6,122,348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5,266,479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6,083,094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operating lease right-of-use assets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223,459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451,018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109,436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Gain on disposal of intangible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129,561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 of loss in equity method investment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85,942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tax expenses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(502,805)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(1,382,822)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Accounts receivable</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(7,004,093)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(3,286,086)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Advance to suppliers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343,786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14,596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Amount due from related parties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544,280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(80,548)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Amount due to related parties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(1,822,315)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(1,046,317)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(1,180,431)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(728,469)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(1,115,558)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(84,063)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(554,928)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4,122,340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2,868,156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revenue</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(3,025,020)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(310,000)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361,636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15,968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Borders>
              <w:top w:val="single" w:sz="8" w:color="CCEEFF"/>
              <w:bottom w:val="single" w:sz="8" w:color="CCEEFF"/>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00" w:type="dxa"/>
            <w:vAlign w:val="bottom"/>
            <w:tcBorders>
              <w:top w:val="single" w:sz="8" w:color="CCEEFF"/>
              <w:bottom w:val="single" w:sz="8" w:color="CCEEFF"/>
            </w:tcBorders>
          </w:tcPr>
          <w:p>
            <w:pPr>
              <w:ind w:left="4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 (9,625,508</w:t>
            </w:r>
          </w:p>
        </w:tc>
        <w:tc>
          <w:tcPr>
            <w:tcW w:w="60" w:type="dxa"/>
            <w:vAlign w:val="bottom"/>
            <w:tcBorders>
              <w:top w:val="single" w:sz="8" w:color="CCEEFF"/>
              <w:bottom w:val="single" w:sz="8" w:color="CCEEFF"/>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CCEEFF"/>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 (5,153,989</w:t>
            </w:r>
          </w:p>
        </w:tc>
        <w:tc>
          <w:tcPr>
            <w:tcW w:w="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gridSpan w:val="3"/>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acquired from acquisition of Ninjas in Pyjamas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1,707,373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(764,994)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(95,923)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Purchase of intangible assets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(5,774,266)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(3,496,596)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Disposal of property and equipment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Disposal of intangible asset</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4,320,553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4,207,979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Loan to related parties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(201,733)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Collection of loan to related party</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464,442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49,429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(used in) provided by investing activities</w:t>
            </w:r>
          </w:p>
        </w:tc>
        <w:tc>
          <w:tcPr>
            <w:tcW w:w="100" w:type="dxa"/>
            <w:vAlign w:val="bottom"/>
            <w:tcBorders>
              <w:top w:val="single" w:sz="8" w:color="CCEEFF"/>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 (1,718,737</w:t>
            </w:r>
          </w:p>
        </w:tc>
        <w:tc>
          <w:tcPr>
            <w:tcW w:w="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2,170,529</w:t>
            </w: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gridSpan w:val="3"/>
          </w:tcPr>
          <w:p>
            <w:pPr>
              <w:jc w:val="right"/>
              <w:ind w:right="4"/>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4"/>
                <w:szCs w:val="14"/>
                <w:color w:val="auto"/>
              </w:rPr>
            </w:pPr>
          </w:p>
        </w:tc>
        <w:tc>
          <w:tcPr>
            <w:tcW w:w="1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Collection of shareholder investment fund receivable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2,999,845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of preferred shares, net of offering cost of $893,168 in 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​12,007,678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borrowings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6,657,750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9,485,123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Repayments of borrowings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(2,600,684)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(6,397,492)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Loans from related parties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7,549,412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282,507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Repayment of loans from related parties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​(11,695,646)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 (3,588,153)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Repayment of capital injection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(1,486,105)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Acquisition of noncontrolling interests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(594,442)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(564,900)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 of deferred offering cost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(852,471)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Borders>
              <w:top w:val="single" w:sz="8" w:color="CCEEFF"/>
              <w:bottom w:val="single" w:sz="8" w:color="CCEEFF"/>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00" w:type="dxa"/>
            <w:vAlign w:val="bottom"/>
            <w:tcBorders>
              <w:top w:val="single" w:sz="8" w:color="CCEEFF"/>
              <w:bottom w:val="single" w:sz="8" w:color="CCEEFF"/>
            </w:tcBorders>
          </w:tcPr>
          <w:p>
            <w:pPr>
              <w:ind w:left="4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9,784,418</w:t>
            </w:r>
          </w:p>
        </w:tc>
        <w:tc>
          <w:tcPr>
            <w:tcW w:w="6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bottom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1,364,459</w:t>
            </w:r>
          </w:p>
        </w:tc>
        <w:tc>
          <w:tcPr>
            <w:tcW w:w="60" w:type="dxa"/>
            <w:vAlign w:val="bottom"/>
            <w:tcBorders>
              <w:top w:val="single" w:sz="8" w:color="CCEEFF"/>
              <w:bottom w:val="single" w:sz="8" w:color="CCEEFF"/>
            </w:tcBorders>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Effect of exchange rate changes</w:t>
            </w:r>
          </w:p>
        </w:tc>
        <w:tc>
          <w:tcPr>
            <w:tcW w:w="1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(261,904)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(374,027)</w:t>
            </w:r>
          </w:p>
        </w:tc>
        <w:tc>
          <w:tcPr>
            <w:tcW w:w="6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(1,821,731)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 ​ (1,993,028)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the year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 11,409,360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9,587,629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9"/>
        </w:trPr>
        <w:tc>
          <w:tcPr>
            <w:tcW w:w="584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end of the year</w:t>
            </w:r>
          </w:p>
        </w:tc>
        <w:tc>
          <w:tcPr>
            <w:tcW w:w="200" w:type="dxa"/>
            <w:vAlign w:val="bottom"/>
            <w:tcBorders>
              <w:top w:val="single" w:sz="8" w:color="CCEEFF"/>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9,587,629</w:t>
            </w:r>
          </w:p>
        </w:tc>
        <w:tc>
          <w:tcPr>
            <w:tcW w:w="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7,594,601</w:t>
            </w:r>
          </w:p>
        </w:tc>
        <w:tc>
          <w:tcPr>
            <w:tcW w:w="60" w:type="dxa"/>
            <w:vAlign w:val="bottom"/>
            <w:tcBorders>
              <w:top w:val="single" w:sz="8" w:color="CCEEFF"/>
            </w:tcBorders>
          </w:tcPr>
          <w:p>
            <w:pPr>
              <w:spacing w:after="0"/>
              <w:rPr>
                <w:sz w:val="14"/>
                <w:szCs w:val="14"/>
                <w:color w:val="auto"/>
              </w:rPr>
            </w:pPr>
          </w:p>
        </w:tc>
        <w:tc>
          <w:tcPr>
            <w:tcW w:w="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5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80" w:type="dxa"/>
            <w:vAlign w:val="bottom"/>
            <w:gridSpan w:val="3"/>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Income tax paid</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(31,799)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paid</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(686,093)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(373,415)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1"/>
        </w:trPr>
        <w:tc>
          <w:tcPr>
            <w:tcW w:w="5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SCHEDULE OF NON-CASH INVESTING AND FINANCING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ACTIVITIES</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184"/>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Accretion on Preferred Shares to redemption value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​(25,296,874)​​ ​</w:t>
            </w:r>
          </w:p>
        </w:tc>
        <w:tc>
          <w:tcPr>
            <w:tcW w:w="98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​(43,914,707)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Payable related to purchase of property and equipment and intangible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(1,057,347)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9"/>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Right-of-use assets obtained in exchange for new lease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2,019,883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266,061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9"/>
        </w:trPr>
        <w:tc>
          <w:tcPr>
            <w:tcW w:w="5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Consideration of acquisition of Ninjas in Pyjamas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xml:space="preserve">​ ​168,000,000 </w:t>
            </w:r>
            <w:r>
              <w:rPr>
                <w:rFonts w:ascii="Times New Roman" w:cs="Times New Roman" w:eastAsia="Times New Roman" w:hAnsi="Times New Roman"/>
                <w:sz w:val="15"/>
                <w:szCs w:val="15"/>
                <w:b w:val="1"/>
                <w:bCs w:val="1"/>
                <w:color w:val="auto"/>
              </w:rPr>
              <w:t>​</w:t>
            </w:r>
          </w:p>
        </w:tc>
      </w:tr>
      <w:tr>
        <w:trPr>
          <w:trHeight w:val="199"/>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settlement of revenue from tournament participation of esports and payable related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5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 league tournaments rights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1,259,822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-1799590</wp:posOffset>
            </wp:positionV>
            <wp:extent cx="52120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-3162300</wp:posOffset>
            </wp:positionV>
            <wp:extent cx="52120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52120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-6308725</wp:posOffset>
            </wp:positionV>
            <wp:extent cx="52120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-6539865</wp:posOffset>
            </wp:positionV>
            <wp:extent cx="45859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88" w:lineRule="exact"/>
        <w:rPr>
          <w:sz w:val="20"/>
          <w:szCs w:val="20"/>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activities</w:t>
      </w:r>
    </w:p>
    <w:p>
      <w:pPr>
        <w:spacing w:after="0" w:line="162"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NIP Group Inc. (the “Company”) was incorporated under the laws of the Cayman Islands on February 5, 2021. The Company through its wholly-owned subsidiaries (collectively, the “Group”), primarily engages in esports teams’ operation, talent management service and event production in the People’s Republic of China (“PRC” or “China”) and Sweden.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the Group and Basis of Presentation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Reverse Acquisition</w:t>
      </w:r>
    </w:p>
    <w:p>
      <w:pPr>
        <w:spacing w:after="0" w:line="14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Prior to acquiring Wuhan Xingjingweiwu Culture &amp; Sports Development Co., Ltd. (“Wuhan ESVF”) and the incorporation of the Company, the Group’s business was carried out under Shenzhen Weiwu Esports Internet Technology Co., Ltd. (“Shenzhen VF”). On March 18, 2021, Wuhan ESVF and Shenzhen VF completed a Reverse Acquisition, which Shenzhen VF was the accounting acquirer. Shenzhen VF is deemed to be the predecessor for accounting purposes and the historical financial statements of Shenzhen VF became the Group’s historical financial statements for periods prior to the consummation of the Reverse Acquisition. Upon the consummation of the Reverse Acquisition, the assets and liabilities of Wuhan ESVF recorded at fair value and the assets and liabilities of Shenzhen VF recorded at carrying value are included in the Group’s balance sheet as of the date of the transaction, and net revenue and net loss arising from acquisition of Wuhan ESVF made in period from acquisition date to December 31, 2021 are included in the Group’s consolidated income statement for the year ended December 31, 2021.</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Acquisition of Ninjas in Pyjamas Gaming AB</w:t>
      </w:r>
    </w:p>
    <w:p>
      <w:pPr>
        <w:spacing w:after="0" w:line="14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On January 10, 2023, the Company completed an acquisition through a series of agreements with the shareholders of Ninjas in Pyjamas, a limited liability company incorporated under the laws of Sweden and engages in esports business. The Company issued to Ninjas in Pyjamas former shareholders 43,044,524 Class B-1 Preferred Shares in exchange of 100% shares in Ninjas in Pyjamas. Upon the consummation of the acquisition (“Business Combination”), 43,044,524 shares constituted 40% of the total issued preferred shares and ordinary shares of the Company, assuming the full exercise of the shares and calculation on a fully diluted and as-converted basis.</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Reorganization: termination of the VIE Agreements</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July 30, 2021, the Company’s subsidiary, Wuhan Muyecun Internet Technology Co., Ltd. (“Wuhan Muyecun” or “WFOE”) and Wuhan ESVF, entered into a series of contractual arrangements with the shareholders of Wuhan ESVF. These agreements include, Exclusive Business Cooperation Agreement, Equity Interest Pledge Agreement, Powers of Attorney, Exclusive Option Agreement and Spousal Consent Letter (collectively the “VIE Agreements”). Pursuant to the VIE Agreements, WFOE has the exclusive right to provide to Wuhan ESVF consulting services related to business operations including technical and management consulting services. The VIE Agreements are designed to provide WFOE with the power, rights, and obligations equivalent in all material respects to those it would possess as the sole equity holder of Wuhan ESVF, including absolute control rights and the rights to the assets, property, and revenue of Wuhan ESVF. As a result of direct ownership in WFOE and the VIE Agreements, Wuhan ESVF should be treated as variable interest entity under the Statement of Financial Accounting Standards Board (“FASB”) Accounting Standards Codification (“ASC”) 810 Consolidation and the Company is regarded as the primary beneficiary of VIE. The Company treats VIE as its consolidated entities under U.S. GAAP.</w:t>
      </w:r>
    </w:p>
    <w:p>
      <w:pPr>
        <w:spacing w:after="0" w:line="12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 June 2023, WFOE, Wuhan ESVF and shareholders of Wuhan ESVF entered into a series of VIE termination agreement (collectively the “VIE Termination Agreements”), pursuant to which, the VIE</w:t>
      </w: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 (continued)</w:t>
      </w:r>
    </w:p>
    <w:p>
      <w:pPr>
        <w:spacing w:after="0" w:line="229" w:lineRule="exact"/>
        <w:rPr>
          <w:sz w:val="20"/>
          <w:szCs w:val="20"/>
          <w:color w:val="auto"/>
        </w:rPr>
      </w:pPr>
    </w:p>
    <w:p>
      <w:pPr>
        <w:ind w:left="1260" w:right="559"/>
        <w:spacing w:after="0" w:line="256" w:lineRule="auto"/>
        <w:rPr>
          <w:sz w:val="20"/>
          <w:szCs w:val="20"/>
          <w:color w:val="auto"/>
        </w:rPr>
      </w:pPr>
      <w:r>
        <w:rPr>
          <w:rFonts w:ascii="Times New Roman" w:cs="Times New Roman" w:eastAsia="Times New Roman" w:hAnsi="Times New Roman"/>
          <w:sz w:val="18"/>
          <w:szCs w:val="18"/>
          <w:color w:val="auto"/>
        </w:rPr>
        <w:t>Agreements were terminated with immediate effect and all shareholders of Wuhan ESVF transferred 100% equity interest of Wuhan ESVF to WFOE. The Company held 100% equity interest of Wuhan ESVF as of December 31, 2023. The VIE termination and share transfer both became effective on June 16, 2023, the Company’s shareholders’ equity shares were remained the same immediately before and after the VIE termination, so the termination of the VIE agreements did not have impact on the Group’s consolidated financial position, results of operations and cash flows.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2023, details of the Company’s subsidiaries were as follows:</w:t>
      </w:r>
    </w:p>
    <w:p>
      <w:pPr>
        <w:sectPr>
          <w:pgSz w:w="11900" w:h="16838" w:orient="portrait"/>
          <w:cols w:equalWidth="0" w:num="1">
            <w:col w:w="9879"/>
          </w:cols>
          <w:pgMar w:left="580" w:top="97" w:right="1440" w:bottom="1440" w:gutter="0" w:footer="0" w:header="0"/>
        </w:sect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6459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31" w:lineRule="exact"/>
        <w:rPr>
          <w:sz w:val="20"/>
          <w:szCs w:val="20"/>
          <w:color w:val="auto"/>
        </w:rPr>
      </w:pPr>
    </w:p>
    <w:p>
      <w:pPr>
        <w:ind w:left="1260" w:right="220"/>
        <w:spacing w:after="0" w:line="271" w:lineRule="auto"/>
        <w:rPr>
          <w:sz w:val="20"/>
          <w:szCs w:val="20"/>
          <w:color w:val="auto"/>
        </w:rPr>
      </w:pPr>
      <w:r>
        <w:rPr>
          <w:rFonts w:ascii="Times New Roman" w:cs="Times New Roman" w:eastAsia="Times New Roman" w:hAnsi="Times New Roman"/>
          <w:sz w:val="18"/>
          <w:szCs w:val="18"/>
          <w:color w:val="auto"/>
        </w:rPr>
        <w:t>Ninjas in Pyjamas Gaming AB (“Ninjas in Pyjamas”)</w:t>
      </w:r>
    </w:p>
    <w:p>
      <w:pPr>
        <w:ind w:left="1260" w:right="180"/>
        <w:spacing w:after="0" w:line="273" w:lineRule="auto"/>
        <w:rPr>
          <w:sz w:val="20"/>
          <w:szCs w:val="20"/>
          <w:color w:val="auto"/>
        </w:rPr>
      </w:pPr>
      <w:r>
        <w:rPr>
          <w:rFonts w:ascii="Times New Roman" w:cs="Times New Roman" w:eastAsia="Times New Roman" w:hAnsi="Times New Roman"/>
          <w:sz w:val="18"/>
          <w:szCs w:val="18"/>
          <w:color w:val="auto"/>
        </w:rPr>
        <w:t>ESVF (HONG KONG) Esports Limited (“ESVF HK”)</w:t>
      </w:r>
    </w:p>
    <w:p>
      <w:pPr>
        <w:spacing w:after="0" w:line="2" w:lineRule="exact"/>
        <w:rPr>
          <w:sz w:val="20"/>
          <w:szCs w:val="20"/>
          <w:color w:val="auto"/>
        </w:rPr>
      </w:pPr>
    </w:p>
    <w:p>
      <w:pPr>
        <w:ind w:left="1260" w:right="220"/>
        <w:spacing w:after="0" w:line="266" w:lineRule="auto"/>
        <w:rPr>
          <w:sz w:val="20"/>
          <w:szCs w:val="20"/>
          <w:color w:val="auto"/>
        </w:rPr>
      </w:pPr>
      <w:r>
        <w:rPr>
          <w:rFonts w:ascii="Times New Roman" w:cs="Times New Roman" w:eastAsia="Times New Roman" w:hAnsi="Times New Roman"/>
          <w:sz w:val="18"/>
          <w:szCs w:val="18"/>
          <w:color w:val="auto"/>
        </w:rPr>
        <w:t>Wuhan Muyecun Internet Technology Co., Ltd. (“Wuhan Muyecun” or “WFOE”)</w:t>
      </w:r>
    </w:p>
    <w:p>
      <w:pPr>
        <w:ind w:left="1260"/>
        <w:spacing w:after="0" w:line="266" w:lineRule="auto"/>
        <w:rPr>
          <w:sz w:val="20"/>
          <w:szCs w:val="20"/>
          <w:color w:val="auto"/>
        </w:rPr>
      </w:pPr>
      <w:r>
        <w:rPr>
          <w:rFonts w:ascii="Times New Roman" w:cs="Times New Roman" w:eastAsia="Times New Roman" w:hAnsi="Times New Roman"/>
          <w:sz w:val="18"/>
          <w:szCs w:val="18"/>
          <w:color w:val="auto"/>
        </w:rPr>
        <w:t>Wuhan Xingjingweiwu Culture &amp; Sports Development Co., Ltd. (“Wuhan ESVF”)</w:t>
      </w:r>
    </w:p>
    <w:p>
      <w:pPr>
        <w:spacing w:after="0" w:line="14" w:lineRule="exact"/>
        <w:rPr>
          <w:sz w:val="20"/>
          <w:szCs w:val="20"/>
          <w:color w:val="auto"/>
        </w:rPr>
      </w:pPr>
    </w:p>
    <w:p>
      <w:pPr>
        <w:jc w:val="both"/>
        <w:ind w:left="1260"/>
        <w:spacing w:after="0" w:line="266" w:lineRule="auto"/>
        <w:rPr>
          <w:sz w:val="20"/>
          <w:szCs w:val="20"/>
          <w:color w:val="auto"/>
        </w:rPr>
      </w:pPr>
      <w:r>
        <w:rPr>
          <w:rFonts w:ascii="Times New Roman" w:cs="Times New Roman" w:eastAsia="Times New Roman" w:hAnsi="Times New Roman"/>
          <w:sz w:val="18"/>
          <w:szCs w:val="18"/>
          <w:color w:val="auto"/>
        </w:rPr>
        <w:t>Shenzhen Weiwu Esports Internet Technology Co., Ltd. (“Shenzhen VF”)</w:t>
      </w:r>
    </w:p>
    <w:p>
      <w:pPr>
        <w:spacing w:after="0" w:line="14" w:lineRule="exact"/>
        <w:rPr>
          <w:sz w:val="20"/>
          <w:szCs w:val="20"/>
          <w:color w:val="auto"/>
        </w:rPr>
      </w:pPr>
    </w:p>
    <w:p>
      <w:pPr>
        <w:ind w:left="1260" w:right="440"/>
        <w:spacing w:after="0" w:line="260" w:lineRule="auto"/>
        <w:rPr>
          <w:sz w:val="20"/>
          <w:szCs w:val="20"/>
          <w:color w:val="auto"/>
        </w:rPr>
      </w:pPr>
      <w:r>
        <w:rPr>
          <w:rFonts w:ascii="Times New Roman" w:cs="Times New Roman" w:eastAsia="Times New Roman" w:hAnsi="Times New Roman"/>
          <w:sz w:val="18"/>
          <w:szCs w:val="18"/>
          <w:color w:val="auto"/>
        </w:rPr>
        <w:t>Shenzhen Dawei Xianglong Sports Co., Ltd (“Dawei Xianglong”)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Place and date of</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34"/>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2014</w:t>
            </w:r>
          </w:p>
        </w:tc>
        <w:tc>
          <w:tcPr>
            <w:tcW w:w="0" w:type="dxa"/>
            <w:vAlign w:val="bottom"/>
          </w:tcPr>
          <w:p>
            <w:pPr>
              <w:spacing w:after="0"/>
              <w:rPr>
                <w:sz w:val="1"/>
                <w:szCs w:val="1"/>
                <w:color w:val="auto"/>
              </w:rPr>
            </w:pPr>
          </w:p>
        </w:tc>
      </w:tr>
      <w:tr>
        <w:trPr>
          <w:trHeight w:val="238"/>
        </w:trPr>
        <w:tc>
          <w:tcPr>
            <w:tcW w:w="16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0" w:type="dxa"/>
            <w:vAlign w:val="bottom"/>
          </w:tcPr>
          <w:p>
            <w:pPr>
              <w:spacing w:after="0"/>
              <w:rPr>
                <w:sz w:val="1"/>
                <w:szCs w:val="1"/>
                <w:color w:val="auto"/>
              </w:rPr>
            </w:pPr>
          </w:p>
        </w:tc>
      </w:tr>
    </w:tbl>
    <w:p>
      <w:pPr>
        <w:ind w:left="120" w:hanging="114"/>
        <w:spacing w:after="0"/>
        <w:tabs>
          <w:tab w:leader="none" w:pos="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Wuhan, July 9, 2021</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20" w:hanging="114"/>
        <w:spacing w:after="0"/>
        <w:tabs>
          <w:tab w:leader="none" w:pos="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Wuhan, June 1, 2016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260" w:right="100" w:hanging="254"/>
        <w:spacing w:after="0" w:line="282" w:lineRule="auto"/>
        <w:tabs>
          <w:tab w:leader="none" w:pos="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December 20, 2018</w:t>
      </w:r>
    </w:p>
    <w:p>
      <w:pPr>
        <w:spacing w:after="0" w:line="215" w:lineRule="exact"/>
        <w:rPr>
          <w:rFonts w:ascii="Times New Roman" w:cs="Times New Roman" w:eastAsia="Times New Roman" w:hAnsi="Times New Roman"/>
          <w:sz w:val="18"/>
          <w:szCs w:val="18"/>
          <w:color w:val="auto"/>
        </w:rPr>
      </w:pPr>
    </w:p>
    <w:p>
      <w:pPr>
        <w:ind w:left="340" w:right="180" w:hanging="334"/>
        <w:spacing w:after="0" w:line="282" w:lineRule="auto"/>
        <w:tabs>
          <w:tab w:leader="none" w:pos="10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​Shenzhen, January 15,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effective ownership</w:t>
            </w: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7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5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ESVF HK</w:t>
            </w:r>
          </w:p>
        </w:tc>
      </w:tr>
      <w:tr>
        <w:trPr>
          <w:trHeight w:val="45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WFOE</w:t>
            </w:r>
          </w:p>
        </w:tc>
      </w:tr>
      <w:tr>
        <w:trPr>
          <w:trHeight w:val="46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Wuhan ESVF</w:t>
            </w:r>
          </w:p>
        </w:tc>
      </w:tr>
      <w:tr>
        <w:trPr>
          <w:trHeight w:val="46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 owned by</w:t>
            </w:r>
          </w:p>
        </w:tc>
      </w:tr>
      <w:tr>
        <w:trPr>
          <w:trHeight w:val="234"/>
        </w:trPr>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Shenzhen VF</w:t>
            </w: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60" w:type="dxa"/>
            <w:vAlign w:val="bottom"/>
            <w:vMerge w:val="continue"/>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 and talent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service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Event production</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40" w:lineRule="exact"/>
        <w:rPr>
          <w:sz w:val="20"/>
          <w:szCs w:val="20"/>
          <w:color w:val="auto"/>
        </w:rPr>
      </w:pPr>
    </w:p>
    <w:p>
      <w:pPr>
        <w:sectPr>
          <w:pgSz w:w="11900" w:h="16838" w:orient="portrait"/>
          <w:cols w:equalWidth="0" w:num="4">
            <w:col w:w="3800" w:space="100"/>
            <w:col w:w="1820" w:space="40"/>
            <w:col w:w="1820" w:space="60"/>
            <w:col w:w="22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Wuhan Xingjing Interactive</w:t>
            </w: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Wuhan, October 23,</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Co., Ltd</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(“Xingjing Entertainment”)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2"/>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Xingjing Weiwu Culture ​ ​</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Sichuan, January 5,</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Media Co., Ltd</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(“Chengdu Xingjing Weiwu”)</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Shanghai Xingzhi Culture Media</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 May 5,</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 Ltd (“Xingzhi Media”)</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2017</w:t>
            </w:r>
          </w:p>
        </w:tc>
      </w:tr>
      <w:tr>
        <w:trPr>
          <w:trHeight w:val="25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Wuhan Xinghui Culture Media</w:t>
            </w: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Wuhan, February 4,</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 Ltd. (“Xinghui Media”)</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Taicang Xingjingweiwu Culture</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Taicang,</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Media Co., Ltd (“Taicang</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8, 2021</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Xingjing”)</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Zhoushan Xingjing Internet</w:t>
            </w: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Zhoushan, August 2,</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 (“Zhoushan</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Xingjing”)</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r>
        <w:trPr>
          <w:trHeight w:val="46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r>
        <w:trPr>
          <w:trHeight w:val="46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r>
        <w:trPr>
          <w:trHeight w:val="25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r>
        <w:trPr>
          <w:trHeight w:val="46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r>
        <w:trPr>
          <w:trHeight w:val="46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80% owned by</w:t>
            </w:r>
          </w:p>
        </w:tc>
      </w:tr>
      <w:tr>
        <w:trPr>
          <w:trHeight w:val="234"/>
        </w:trPr>
        <w:tc>
          <w:tcPr>
            <w:tcW w:w="280" w:type="dxa"/>
            <w:vAlign w:val="bottom"/>
          </w:tcPr>
          <w:p>
            <w:pPr>
              <w:spacing w:after="0"/>
              <w:rPr>
                <w:sz w:val="20"/>
                <w:szCs w:val="20"/>
                <w:color w:val="auto"/>
              </w:rPr>
            </w:pP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Wuhan ESVF</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 and talent</w:t>
            </w:r>
          </w:p>
        </w:tc>
        <w:tc>
          <w:tcPr>
            <w:tcW w:w="8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service</w:t>
            </w:r>
          </w:p>
        </w:tc>
        <w:tc>
          <w:tcPr>
            <w:tcW w:w="80" w:type="dxa"/>
            <w:vAlign w:val="bottom"/>
          </w:tcPr>
          <w:p>
            <w:pPr>
              <w:spacing w:after="0"/>
              <w:rPr>
                <w:sz w:val="20"/>
                <w:szCs w:val="20"/>
                <w:color w:val="auto"/>
              </w:rPr>
            </w:pP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w:t>
            </w:r>
          </w:p>
        </w:tc>
        <w:tc>
          <w:tcPr>
            <w:tcW w:w="80" w:type="dxa"/>
            <w:vAlign w:val="bottom"/>
          </w:tcPr>
          <w:p>
            <w:pPr>
              <w:spacing w:after="0"/>
              <w:rPr>
                <w:sz w:val="20"/>
                <w:szCs w:val="20"/>
                <w:color w:val="auto"/>
              </w:rPr>
            </w:pPr>
          </w:p>
        </w:tc>
      </w:tr>
      <w:tr>
        <w:trPr>
          <w:trHeight w:val="46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w:t>
            </w:r>
          </w:p>
        </w:tc>
        <w:tc>
          <w:tcPr>
            <w:tcW w:w="80" w:type="dxa"/>
            <w:vAlign w:val="bottom"/>
          </w:tcPr>
          <w:p>
            <w:pPr>
              <w:spacing w:after="0"/>
              <w:rPr>
                <w:sz w:val="20"/>
                <w:szCs w:val="20"/>
                <w:color w:val="auto"/>
              </w:rPr>
            </w:pP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 and talent</w:t>
            </w:r>
          </w:p>
        </w:tc>
        <w:tc>
          <w:tcPr>
            <w:tcW w:w="8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service</w:t>
            </w:r>
          </w:p>
        </w:tc>
        <w:tc>
          <w:tcPr>
            <w:tcW w:w="80" w:type="dxa"/>
            <w:vAlign w:val="bottom"/>
          </w:tcPr>
          <w:p>
            <w:pPr>
              <w:spacing w:after="0"/>
              <w:rPr>
                <w:sz w:val="20"/>
                <w:szCs w:val="20"/>
                <w:color w:val="auto"/>
              </w:rPr>
            </w:pP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Esports teams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w:t>
            </w:r>
          </w:p>
        </w:tc>
        <w:tc>
          <w:tcPr>
            <w:tcW w:w="80" w:type="dxa"/>
            <w:vAlign w:val="bottom"/>
          </w:tcPr>
          <w:p>
            <w:pPr>
              <w:spacing w:after="0"/>
              <w:rPr>
                <w:sz w:val="20"/>
                <w:szCs w:val="20"/>
                <w:color w:val="auto"/>
              </w:rPr>
            </w:pPr>
          </w:p>
        </w:tc>
      </w:tr>
      <w:tr>
        <w:trPr>
          <w:trHeight w:val="46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Talent management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tcPr>
          <w:p>
            <w:pPr>
              <w:spacing w:after="0"/>
              <w:rPr>
                <w:sz w:val="20"/>
                <w:szCs w:val="20"/>
                <w:color w:val="auto"/>
              </w:rPr>
            </w:pPr>
          </w:p>
        </w:tc>
      </w:tr>
    </w:tbl>
    <w:p>
      <w:pPr>
        <w:spacing w:after="0" w:line="415" w:lineRule="exact"/>
        <w:rPr>
          <w:sz w:val="20"/>
          <w:szCs w:val="20"/>
          <w:color w:val="auto"/>
        </w:rPr>
      </w:pPr>
    </w:p>
    <w:p>
      <w:pPr>
        <w:sectPr>
          <w:pgSz w:w="11900" w:h="16838" w:orient="portrait"/>
          <w:cols w:equalWidth="0" w:num="3">
            <w:col w:w="5680" w:space="80"/>
            <w:col w:w="1600" w:space="280"/>
            <w:col w:w="2239"/>
          </w:cols>
          <w:pgMar w:left="580" w:top="97" w:right="1440" w:bottom="1440" w:gutter="0" w:footer="0" w:header="0"/>
          <w:type w:val="continuous"/>
        </w:sectPr>
      </w:pPr>
    </w:p>
    <w:p>
      <w:pPr>
        <w:spacing w:after="0" w:line="2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Place and date of</w:t>
            </w:r>
          </w:p>
        </w:tc>
        <w:tc>
          <w:tcPr>
            <w:tcW w:w="2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effective ownership</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Zhoushan Jingxi Internet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Zhoushan, August 2,</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 owned by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Talent management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 (“Zhoushan</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Wuhan ESVF</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Jingxi”)</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Hongli Culture Communication</w:t>
            </w:r>
          </w:p>
        </w:tc>
        <w:tc>
          <w:tcPr>
            <w:tcW w:w="20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Wuhan,</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60.67% owned by</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Event production</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(Wuhan) Co., Ltd (“Hongli</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26, 2017</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Wuhan ESVF</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Culture”)</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Wuhan Yingciyuan Information</w:t>
            </w:r>
          </w:p>
        </w:tc>
        <w:tc>
          <w:tcPr>
            <w:tcW w:w="20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Wuhan,</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 owned by</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Event production</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17, 2022</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Hongli Culture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(“Wuhan Yingciyuan”)</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Xiamen Yingciyuan Education</w:t>
            </w:r>
          </w:p>
        </w:tc>
        <w:tc>
          <w:tcPr>
            <w:tcW w:w="20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Xiamen, April 4,</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 owned by</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Event production</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Hongli Culture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(“Xiamen Yingciyuan”)</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spacing w:after="0"/>
              <w:rPr>
                <w:sz w:val="20"/>
                <w:szCs w:val="2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Changsha Liyao Cultural</w:t>
            </w:r>
          </w:p>
        </w:tc>
        <w:tc>
          <w:tcPr>
            <w:tcW w:w="20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Changsha, May 19,</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 owned by</w:t>
            </w:r>
          </w:p>
        </w:tc>
        <w:tc>
          <w:tcPr>
            <w:tcW w:w="22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Event production</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Co., Ltd</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Hongli Culture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(“Changsha Liyao”)</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1620" w:hanging="360"/>
        <w:spacing w:after="0"/>
        <w:tabs>
          <w:tab w:leader="none" w:pos="16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Principles of consolidation</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the Company and its subsidiaries, its consolidated subsidiaries or its former VIE and VIE’s subsidiaries, of which the Company is the primary beneficiary, from the dates they were acquired or incorporated. All inter-company balances and transactions are eliminated upon consolidation. The results of subsidiaries acquired are recorded in the consolidated income statements from the effective date of acquisition, as appropriate.</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For consolidated subsidiaries where the Group’s ownership in the subsidiary is less than 100%, the equity interest not held by the Group is shown as noncontrolling interests.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consolidated financial statements and accompanying notes. Significant accounting estimates include, but not limited to, the valuation of the consideration transferred and the purchase price allocation associated with business combination, valuation of share-based compensation, valuation of ordinary shares and preferred shares, the allowance for credit losses of accounts receivable, amounts due from related parties, prepaid expenses and other current assets, depreciable lives and recoverability of property and equipment and intangible assets, valuation allowance of deferred tax assets. Changes in facts and circumstances may result in revised estimates. Actual results could differ from those estimates, and as such, differences may be material to the consolidated financial statements.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1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Business Combination</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 805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w:t>
      </w:r>
    </w:p>
    <w:p>
      <w:pPr>
        <w:spacing w:after="0" w:line="1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Cash and cash equivalents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 and highly liquid investments which are unrestricted as to withdrawal and use and have original maturities of less than three months.</w:t>
      </w:r>
    </w:p>
    <w:p>
      <w:pPr>
        <w:spacing w:after="0" w:line="158" w:lineRule="exact"/>
        <w:rPr>
          <w:sz w:val="20"/>
          <w:szCs w:val="20"/>
          <w:color w:val="auto"/>
        </w:rPr>
      </w:pPr>
    </w:p>
    <w:p>
      <w:pPr>
        <w:ind w:left="1620" w:hanging="360"/>
        <w:spacing w:after="0"/>
        <w:tabs>
          <w:tab w:leader="none" w:pos="162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1" w:lineRule="exact"/>
        <w:rPr>
          <w:rFonts w:ascii="Times New Roman" w:cs="Times New Roman" w:eastAsia="Times New Roman" w:hAnsi="Times New Roman"/>
          <w:sz w:val="18"/>
          <w:szCs w:val="18"/>
          <w:b w:val="1"/>
          <w:bCs w:val="1"/>
          <w:i w:val="1"/>
          <w:iCs w:val="1"/>
          <w:color w:val="auto"/>
        </w:rPr>
      </w:pPr>
    </w:p>
    <w:p>
      <w:pPr>
        <w:ind w:left="1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Accounts receivable, net are stated at the original amount less an allowance for credit losses.</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Accounts receivable, net are recognized in the period when the Group has provided services to its customers and when its right to consideration is unconditional. On January 1, 2023, the Group adopted ASU</w:t>
      </w: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2016-13, “Financial Instruments — Credit Losses (Accounting Standards Codification (“ASC” Topic 326): Measurement on Credit Losses on Financial Instruments”, including certain subsequent amendments, transitional guidance and other interpretive guidance within ASU 2018-19, ASU 2019-04, ASU 2019-05, ASU2019-11, ASU 2020-02 and ASU 2020-03 (collectively, including ASU 2016-13, “ASC 326”).</w:t>
      </w:r>
    </w:p>
    <w:p>
      <w:pPr>
        <w:spacing w:after="0" w:line="2"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ASC 326 introduces an approach based on expected losses to estimate the allowance for credit losses, which replaces the previous incurred loss impairment model.</w:t>
      </w:r>
    </w:p>
    <w:p>
      <w:pPr>
        <w:spacing w:after="0" w:line="10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Group evaluates its accounts receivable for expected credit losses on a regular basis. The Group maintains an estimated allowance for credit losses to reduce its accounts receivable to the amount that it believes will be collected. The Group’s estimation of allowance for credit losses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 The Group adjusts the allowance percentage periodically when there are significant differences between estimated bad debts and actual bad debts. If there is strong evidence indicating that the accounts receivable are likely to be unrecoverable, the Group also makes specific allowance in the period in which a loss is determined to be probable. Accounts receivable balances are written off after all collection efforts have been exhausted.</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nil and $207,499 provision for credit losses as of December 31, 2022 and 2023.</w:t>
      </w:r>
    </w:p>
    <w:p>
      <w:pPr>
        <w:spacing w:after="0" w:line="22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lives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Borders>
              <w:top w:val="single" w:sz="8" w:color="auto"/>
            </w:tcBorders>
          </w:tcPr>
          <w:p>
            <w:pPr>
              <w:jc w:val="center"/>
              <w:ind w:right="294"/>
              <w:spacing w:after="0"/>
              <w:rPr>
                <w:sz w:val="20"/>
                <w:szCs w:val="20"/>
                <w:color w:val="auto"/>
              </w:rPr>
            </w:pPr>
            <w:r>
              <w:rPr>
                <w:rFonts w:ascii="Times New Roman" w:cs="Times New Roman" w:eastAsia="Times New Roman" w:hAnsi="Times New Roman"/>
                <w:sz w:val="18"/>
                <w:szCs w:val="18"/>
                <w:color w:val="auto"/>
              </w:rPr>
              <w:t>Electronic equipment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jc w:val="center"/>
              <w:ind w:right="294"/>
              <w:spacing w:after="0"/>
              <w:rPr>
                <w:sz w:val="20"/>
                <w:szCs w:val="20"/>
                <w:color w:val="auto"/>
              </w:rPr>
            </w:pPr>
            <w:r>
              <w:rPr>
                <w:rFonts w:ascii="Times New Roman" w:cs="Times New Roman" w:eastAsia="Times New Roman" w:hAnsi="Times New Roman"/>
                <w:sz w:val="18"/>
                <w:szCs w:val="18"/>
                <w:color w:val="auto"/>
              </w:rPr>
              <w:t>Furniture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jc w:val="center"/>
              <w:ind w:right="294"/>
              <w:spacing w:after="0"/>
              <w:rPr>
                <w:sz w:val="20"/>
                <w:szCs w:val="20"/>
                <w:color w:val="auto"/>
              </w:rPr>
            </w:pPr>
            <w:r>
              <w:rPr>
                <w:rFonts w:ascii="Times New Roman" w:cs="Times New Roman" w:eastAsia="Times New Roman" w:hAnsi="Times New Roman"/>
                <w:sz w:val="18"/>
                <w:szCs w:val="18"/>
                <w:color w:val="auto"/>
              </w:rPr>
              <w:t>Vehicles or canteen equipment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 5 years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jc w:val="center"/>
              <w:ind w:right="294"/>
              <w:spacing w:after="0"/>
              <w:rPr>
                <w:sz w:val="20"/>
                <w:szCs w:val="20"/>
                <w:color w:val="auto"/>
              </w:rPr>
            </w:pPr>
            <w:r>
              <w:rPr>
                <w:rFonts w:ascii="Times New Roman" w:cs="Times New Roman" w:eastAsia="Times New Roman" w:hAnsi="Times New Roman"/>
                <w:sz w:val="18"/>
                <w:szCs w:val="18"/>
                <w:color w:val="auto"/>
              </w:rPr>
              <w:t>Leasehold improvement</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​Shorter of the lease term or the estimated useful​</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life of the assets</w:t>
            </w:r>
          </w:p>
        </w:tc>
        <w:tc>
          <w:tcPr>
            <w:tcW w:w="40" w:type="dxa"/>
            <w:vAlign w:val="bottom"/>
          </w:tcPr>
          <w:p>
            <w:pPr>
              <w:spacing w:after="0"/>
              <w:rPr>
                <w:sz w:val="20"/>
                <w:szCs w:val="20"/>
                <w:color w:val="auto"/>
              </w:rPr>
            </w:pPr>
          </w:p>
        </w:tc>
      </w:tr>
    </w:tbl>
    <w:p>
      <w:pPr>
        <w:spacing w:after="0" w:line="14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operation.</w:t>
      </w:r>
    </w:p>
    <w:p>
      <w:pPr>
        <w:spacing w:after="0" w:line="372" w:lineRule="exact"/>
        <w:rPr>
          <w:sz w:val="20"/>
          <w:szCs w:val="20"/>
          <w:color w:val="auto"/>
        </w:rPr>
      </w:pPr>
    </w:p>
    <w:p>
      <w:pPr>
        <w:ind w:left="1620" w:hanging="360"/>
        <w:spacing w:after="0"/>
        <w:tabs>
          <w:tab w:leader="none" w:pos="1620"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61" w:lineRule="exact"/>
        <w:rPr>
          <w:rFonts w:ascii="Times New Roman" w:cs="Times New Roman" w:eastAsia="Times New Roman" w:hAnsi="Times New Roman"/>
          <w:sz w:val="18"/>
          <w:szCs w:val="18"/>
          <w:b w:val="1"/>
          <w:bCs w:val="1"/>
          <w:i w:val="1"/>
          <w:iCs w:val="1"/>
          <w:color w:val="auto"/>
        </w:rPr>
      </w:pPr>
    </w:p>
    <w:p>
      <w:pPr>
        <w:ind w:left="1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Estimated useful lives by intangible asset classes are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lives</w:t>
            </w:r>
          </w:p>
        </w:tc>
      </w:tr>
      <w:tr>
        <w:trPr>
          <w:trHeight w:val="21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League tournaments rights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Indefinite</w:t>
            </w:r>
          </w:p>
        </w:tc>
      </w:tr>
      <w:tr>
        <w:trPr>
          <w:trHeight w:val="25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 names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Indefinite/5 years</w:t>
            </w:r>
          </w:p>
        </w:tc>
      </w:tr>
      <w:tr>
        <w:trPr>
          <w:trHeight w:val="257"/>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Agency contract rights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 5 years</w:t>
            </w:r>
          </w:p>
        </w:tc>
      </w:tr>
      <w:tr>
        <w:trPr>
          <w:trHeight w:val="257"/>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Talent acquisition costs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5 years</w:t>
            </w:r>
          </w:p>
        </w:tc>
      </w:tr>
      <w:tr>
        <w:trPr>
          <w:trHeight w:val="28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 3 years</w:t>
            </w:r>
          </w:p>
        </w:tc>
      </w:tr>
    </w:tbl>
    <w:p>
      <w:pPr>
        <w:spacing w:after="0" w:line="13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estimated useful lives of intangible assets with finite lives are reassessed if circumstances occur that indicate the original estimated useful lives may have changed.</w:t>
      </w:r>
    </w:p>
    <w:p>
      <w:pPr>
        <w:spacing w:after="0" w:line="95"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Intangible assets that have indefinite useful lives as of December 31, 2022 included the league tournaments rights and brand name of Wuhan ESVF; and as of December 31, 2023 included the league tournaments rights and brand name of Ninjas in Pyjamas and Wuhan ESVF as of December 31, 2023. The Group expects that the league tournaments rights and brand name of Ninjas in Pyjamas and Wuhan ESVF are unlikely to be terminated based on industry experience and will continue to contribute revenue in the future. Therefore, the Group considers the useful life of such intangible assets to be indefinite.</w:t>
      </w:r>
    </w:p>
    <w:p>
      <w:pPr>
        <w:spacing w:after="0" w:line="112"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Group capitalizes costs associated with the acquisition of certain members of talent and online entertainers and amortizes these costs straight-line over their estimated useful lives, which reflect the contractual term of the associated talent agreement. The fair value of brand name of Hongli Culture is amortized on a straight-line basis over its estimated useful life.</w:t>
      </w:r>
    </w:p>
    <w:p>
      <w:pPr>
        <w:spacing w:after="0" w:line="110" w:lineRule="exact"/>
        <w:rPr>
          <w:sz w:val="20"/>
          <w:szCs w:val="20"/>
          <w:color w:val="auto"/>
        </w:rPr>
      </w:pPr>
    </w:p>
    <w:p>
      <w:pPr>
        <w:jc w:val="both"/>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Finite-lived intangible assets are carried at cost less accumulated amortization and impairment if any. The finite-lived intangible assets are amortized over their estimated useful lives, which is the period over which the assets are expected to contribute directly or indirectly to the future cash flows of the Group.</w:t>
      </w:r>
    </w:p>
    <w:p>
      <w:pPr>
        <w:spacing w:after="0" w:line="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These intangible assets are tested for impairment at the time of a triggering event, if one were to occur. Finite-lived intangible assets may be impaired when the estimated undiscounted future cash flows generated from the assets are less than their carrying amounts. No impairment of finite-lived intangible assets was recognized for the years ended December 31, 2022 and 2023.</w:t>
      </w:r>
    </w:p>
    <w:p>
      <w:pPr>
        <w:spacing w:after="0" w:line="11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Group evaluates indefinite-lived intangible assets as at each reporting period to determine whether events and circumstances continue to support indefinite useful lives. The value of indefinite-lived intangible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assets is not amortized, but tested for impairment annually or whenever events or changes in circumstances indicate that it is more likely than not that the asset is impaired in accordance with ASC 350.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Group calculates the fair value of the intangible asset and performs the quantitative impairment test by comparing the fair value of the asset with its carrying amount. If the carrying amount of an indefinite-lived intangible asset exceeds its fair value, the Group recognizes an impairment loss in an amount equal to that excess. In consideration of the growing esports industry in China, the Group’s improving financial performance, the stable macroeconomic conditions in China and the Group’s future plans, the Group determined that it is not likely that the league tournaments rights and brand name were impaired as of December 31, 2022 and 2023. As such, no impairment of indefinite-lived intangible assets was recognized for the years ended December 31, 2022 and 2023.</w:t>
      </w:r>
    </w:p>
    <w:p>
      <w:pPr>
        <w:spacing w:after="0" w:line="185" w:lineRule="exact"/>
        <w:rPr>
          <w:sz w:val="20"/>
          <w:szCs w:val="20"/>
          <w:color w:val="auto"/>
        </w:rPr>
      </w:pPr>
    </w:p>
    <w:p>
      <w:pPr>
        <w:ind w:left="1620" w:hanging="360"/>
        <w:spacing w:after="0"/>
        <w:tabs>
          <w:tab w:leader="none" w:pos="1620" w:val="left"/>
        </w:tabs>
        <w:numPr>
          <w:ilvl w:val="0"/>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Deferred offering costs consist of underwriting, legal and other expenses incurred through the reporting date that are directly related to an anticipated offering and that will be charged as a reduction against additional paid-in capital upon the completion of the offering. Should the offering prove to be unsuccessful, these deferred costs, as well as additional expenses to be incurred, will be charged to operations. As of December 31, 2022 and 2023, the Group has recognized $339,956 and $3,405,526 deferred offering costs in other non-current assets, respectively.</w:t>
      </w:r>
    </w:p>
    <w:p>
      <w:pPr>
        <w:spacing w:after="0" w:line="178" w:lineRule="exact"/>
        <w:rPr>
          <w:sz w:val="20"/>
          <w:szCs w:val="20"/>
          <w:color w:val="auto"/>
        </w:rPr>
      </w:pPr>
    </w:p>
    <w:p>
      <w:pPr>
        <w:ind w:left="1620" w:hanging="360"/>
        <w:spacing w:after="0"/>
        <w:tabs>
          <w:tab w:leader="none" w:pos="1620"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in a business combination or an acquisition by an entity that are not individually identified and separately recognized. Goodwill acquired in a business combination is tested for impairment at least annually or more frequently when events and circumstances occur indicating that the recorded goodwill may be impaired. The Group performed impairment analysis on goodwill as of December 31 every year either beginning with a qualitative assessment, or starting with the quantitative assessment instead. The quantitative goodwill impairment test compares the fair value of each reporting unit to its carrying amount, including goodwill. A reporting unit constitutes a business for which discrete profit and loss financial information is available. The fair value of each reporting unit is established using a combination of expected present value of future cash flows. If the fair value of each reporting unit exceeds its carrying amount, goodwill is not considered to be impaired. If the carrying amount of a reporting unit exceeds its fair value, an impairment loss shall be recognized in an amount equal to that excess, limited to the total amount of goodwill allocated to that reporting unit.</w:t>
      </w:r>
    </w:p>
    <w:p>
      <w:pPr>
        <w:spacing w:after="0" w:line="3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Determining when to test for impairment, the Group’s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 The Group bases fair value estimates on assumptions it believes to be reasonable but that are unpredictable and inherently uncertain.</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Significant changes in the economic characteristics of components or reorganization of an entity’s reporting structure can sometimes result in a re-assessment of the affected operating segment and its components to determine whether reporting units need to be redefined where the components are no longer economically similar.</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Future changes in the judgments and estimates underlying the Group’s analysis of goodwill for possible impairment, including expected future cash flows and discount rate, could result in a significantly different estimate of the fair value of the reporting units and could result in additional impairment of goodwill. The Group did not record any impairment charge for the years ended December 31, 2022 and 2023.</w:t>
      </w:r>
    </w:p>
    <w:p>
      <w:pPr>
        <w:spacing w:after="0" w:line="1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Group reviews for the impairment of long-lived assets whenever events or changes in circumstances indicate that the carrying amount of an asset may not be recoverable. The Group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Group to make assumptions about future cash flows over the life of the asset being evaluated. These assumptions require significant judgment and actual results may differ from assumed and estimated amounts. The Group did not record any impairment charge for the years ended December 31, 2022 and 2023.</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 Fair value measurement</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16"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72" w:lineRule="exact"/>
        <w:rPr>
          <w:sz w:val="20"/>
          <w:szCs w:val="20"/>
          <w:color w:val="auto"/>
        </w:rPr>
      </w:pPr>
    </w:p>
    <w:p>
      <w:pPr>
        <w:ind w:left="1800" w:right="87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Applies to assets or liabilities for which there are quoted prices in active markets for identical assets or liabilities.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7"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95"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Applies to assets or liabilities for which there are unobservable inputs to the valuation methodology that are significant to the measurement of the fair value of the assets or liabilities.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1440" w:firstLine="360"/>
        <w:spacing w:after="0" w:line="269"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accounts receivable, amounts due from related parties, prepaid expenses and other current assets, accounts payable, short-term borrowings, long term borrowings, current portion, amounts due to related parties, payable related to league tournaments rights, current, and accrued expenses and other current liabilities. As of December 31, 2022 and 2023, the carrying amounts of the financial instruments approximated to their fair values due to the short-term maturity of these instruments.</w:t>
      </w:r>
    </w:p>
    <w:p>
      <w:pPr>
        <w:spacing w:after="0" w:line="107" w:lineRule="exact"/>
        <w:rPr>
          <w:sz w:val="20"/>
          <w:szCs w:val="20"/>
          <w:color w:val="auto"/>
        </w:rPr>
      </w:pPr>
    </w:p>
    <w:p>
      <w:pPr>
        <w:ind w:left="1260" w:right="1600" w:firstLine="360"/>
        <w:spacing w:after="0" w:line="297" w:lineRule="auto"/>
        <w:rPr>
          <w:sz w:val="20"/>
          <w:szCs w:val="20"/>
          <w:color w:val="auto"/>
        </w:rPr>
      </w:pPr>
      <w:r>
        <w:rPr>
          <w:rFonts w:ascii="Times New Roman" w:cs="Times New Roman" w:eastAsia="Times New Roman" w:hAnsi="Times New Roman"/>
          <w:sz w:val="18"/>
          <w:szCs w:val="18"/>
          <w:color w:val="auto"/>
        </w:rPr>
        <w:t>The Group’s non-financial assets, such as property and equipment, would be measured at fair value only if they were determined to be impaired.</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48" w:lineRule="exact"/>
        <w:rPr>
          <w:sz w:val="20"/>
          <w:szCs w:val="20"/>
          <w:color w:val="auto"/>
        </w:rPr>
      </w:pPr>
    </w:p>
    <w:p>
      <w:pPr>
        <w:ind w:left="1260" w:right="1420" w:firstLine="360"/>
        <w:spacing w:after="0" w:line="270" w:lineRule="auto"/>
        <w:rPr>
          <w:sz w:val="20"/>
          <w:szCs w:val="20"/>
          <w:color w:val="auto"/>
        </w:rPr>
      </w:pPr>
      <w:r>
        <w:rPr>
          <w:rFonts w:ascii="Times New Roman" w:cs="Times New Roman" w:eastAsia="Times New Roman" w:hAnsi="Times New Roman"/>
          <w:sz w:val="18"/>
          <w:szCs w:val="18"/>
          <w:color w:val="auto"/>
        </w:rPr>
        <w:t>The Group recognizes revenue under Accounting Standards Codification (“ASC”) 606, Revenue from Contracts with Customers. The core principle of the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05"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1:</w:t>
        <w:tab/>
        <w:t>Identify the contract with the customer</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2:</w:t>
        <w:tab/>
        <w:t>Identify the performance obligations in the contract</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3:</w:t>
        <w:tab/>
        <w:t>Determine the transaction price</w:t>
      </w:r>
    </w:p>
    <w:p>
      <w:pPr>
        <w:spacing w:after="0" w:line="144"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Step 4:</w:t>
        <w:tab/>
        <w:t>Allocate the transaction price to the performance obligations in the contract</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5:</w:t>
        <w:tab/>
        <w:t>Recognize revenue when the company satisfies a performance obligation</w:t>
      </w:r>
    </w:p>
    <w:p>
      <w:pPr>
        <w:spacing w:after="0" w:line="158"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These criteria as they relate to each of the following major revenue generating activities are described below. Revenue is presented net of value added taxes (“VAT”) and surcharges.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4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20" w:type="dxa"/>
            <w:vAlign w:val="bottom"/>
            <w:tcBorders>
              <w:bottom w:val="single" w:sz="8" w:color="auto"/>
            </w:tcBorders>
          </w:tcPr>
          <w:p>
            <w:pPr>
              <w:spacing w:after="0"/>
              <w:rPr>
                <w:sz w:val="17"/>
                <w:szCs w:val="17"/>
                <w:color w:val="auto"/>
              </w:rPr>
            </w:pPr>
          </w:p>
        </w:tc>
        <w:tc>
          <w:tcPr>
            <w:tcW w:w="1620" w:type="dxa"/>
            <w:vAlign w:val="bottom"/>
            <w:gridSpan w:val="2"/>
          </w:tcPr>
          <w:p>
            <w:pPr>
              <w:jc w:val="right"/>
              <w:ind w:right="1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1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Sponsorships and advertising</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5,688,331​​</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​​$ 8,147,298​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Tournament participation of esports</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​11,069,172​​</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7,699,506​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 licensing</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433,737​​</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3,470,560​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Talent management service of esports</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1,512,015​​</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1,115,057​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Player transfer and rental fee</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2,905,335​​</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849,768​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branded merchandise</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130,279​​</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gridSpan w:val="3"/>
          </w:tcPr>
          <w:p>
            <w:pPr>
              <w:jc w:val="right"/>
              <w:ind w:right="1574"/>
              <w:spacing w:after="0"/>
              <w:rPr>
                <w:sz w:val="20"/>
                <w:szCs w:val="20"/>
                <w:color w:val="auto"/>
              </w:rPr>
            </w:pPr>
            <w:r>
              <w:rPr>
                <w:rFonts w:ascii="Times New Roman" w:cs="Times New Roman" w:eastAsia="Times New Roman" w:hAnsi="Times New Roman"/>
                <w:sz w:val="18"/>
                <w:szCs w:val="18"/>
                <w:color w:val="auto"/>
              </w:rPr>
              <w:t>184,337​</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Reality show service</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198,095</w:t>
            </w:r>
          </w:p>
        </w:tc>
        <w:tc>
          <w:tcPr>
            <w:tcW w:w="1600" w:type="dxa"/>
            <w:vAlign w:val="bottom"/>
          </w:tcPr>
          <w:p>
            <w:pPr>
              <w:jc w:val="right"/>
              <w:ind w:right="157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 of Esports teams operation</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​21,738,869​​</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​21,664,621​</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Event production</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5,566,831​​</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9,409,795</w:t>
            </w:r>
          </w:p>
        </w:tc>
        <w:tc>
          <w:tcPr>
            <w:tcW w:w="1600" w:type="dxa"/>
            <w:vAlign w:val="bottom"/>
          </w:tcPr>
          <w:p>
            <w:pPr>
              <w:jc w:val="right"/>
              <w:ind w:right="15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Talent management service of third-party online entertainers</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​38,594,558​​</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​52,650,550​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​65,900,258​​</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​83,724,966</w:t>
            </w:r>
          </w:p>
        </w:tc>
        <w:tc>
          <w:tcPr>
            <w:tcW w:w="1600" w:type="dxa"/>
            <w:vAlign w:val="bottom"/>
          </w:tcPr>
          <w:p>
            <w:pPr>
              <w:jc w:val="right"/>
              <w:ind w:right="15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surcharge tax</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gridSpan w:val="3"/>
          </w:tcPr>
          <w:p>
            <w:pPr>
              <w:jc w:val="right"/>
              <w:ind w:right="1574"/>
              <w:spacing w:after="0"/>
              <w:rPr>
                <w:sz w:val="20"/>
                <w:szCs w:val="20"/>
                <w:color w:val="auto"/>
              </w:rPr>
            </w:pPr>
            <w:r>
              <w:rPr>
                <w:rFonts w:ascii="Times New Roman" w:cs="Times New Roman" w:eastAsia="Times New Roman" w:hAnsi="Times New Roman"/>
                <w:sz w:val="18"/>
                <w:szCs w:val="18"/>
                <w:color w:val="auto"/>
              </w:rPr>
              <w:t>56,525​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620" w:type="dxa"/>
            <w:vAlign w:val="bottom"/>
          </w:tcPr>
          <w:p>
            <w:pPr>
              <w:spacing w:after="0"/>
              <w:rPr>
                <w:sz w:val="22"/>
                <w:szCs w:val="22"/>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60" w:type="dxa"/>
            <w:vAlign w:val="bottom"/>
            <w:gridSpan w:val="10"/>
            <w:shd w:val="clear" w:color="auto" w:fill="CCEEFF"/>
          </w:tcPr>
          <w:p>
            <w:pPr>
              <w:ind w:left="4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65,835,111</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83,668,441</w:t>
            </w:r>
          </w:p>
        </w:tc>
        <w:tc>
          <w:tcPr>
            <w:tcW w:w="1600" w:type="dxa"/>
            <w:vAlign w:val="bottom"/>
          </w:tcPr>
          <w:p>
            <w:pPr>
              <w:jc w:val="right"/>
              <w:ind w:right="15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F-15</w:t>
            </w: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6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-856615</wp:posOffset>
            </wp:positionV>
            <wp:extent cx="41744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-1182370</wp:posOffset>
            </wp:positionV>
            <wp:extent cx="41744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-2630805</wp:posOffset>
            </wp:positionV>
            <wp:extent cx="41662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disaggregated revenue from contracts with customers by service type and by segment:</w:t>
      </w:r>
    </w:p>
    <w:tbl>
      <w:tblPr>
        <w:tblLayout w:type="fixed"/>
        <w:tblInd w:w="1620" w:type="dxa"/>
        <w:tblCellMar>
          <w:top w:w="0" w:type="dxa"/>
          <w:left w:w="0" w:type="dxa"/>
          <w:bottom w:w="0" w:type="dxa"/>
          <w:right w:w="0" w:type="dxa"/>
        </w:tblCellMar>
      </w:tblPr>
      <w:tr>
        <w:trPr>
          <w:trHeight w:val="338"/>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20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For the years ended December 31, </w:t>
            </w:r>
            <w:r>
              <w:rPr>
                <w:rFonts w:ascii="Times New Roman" w:cs="Times New Roman" w:eastAsia="Times New Roman" w:hAnsi="Times New Roman"/>
                <w:sz w:val="28"/>
                <w:szCs w:val="28"/>
                <w:b w:val="1"/>
                <w:bCs w:val="1"/>
                <w:color w:val="auto"/>
                <w:w w:val="98"/>
                <w:vertAlign w:val="subscript"/>
              </w:rPr>
              <w:t>​</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PRC and other subsidiaries</w:t>
            </w:r>
          </w:p>
        </w:tc>
        <w:tc>
          <w:tcPr>
            <w:tcW w:w="3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Talent management service of third-party online entertainers</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​​$38,594,558​​</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​​$52,650,550​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5,566,831​​</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9,409,795​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Sponsorships and advertising</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5,688,331​​</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5,638,612​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Tournament participation of esports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​11,069,172​​</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5,457,029​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Talent management service of esports</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1,512,015​​</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1,115,057​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Player transfer and rental fee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2,905,335​​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IP licensing</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433,737​​</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Reality show service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Sales of branded merchandise</w:t>
            </w:r>
          </w:p>
        </w:tc>
        <w:tc>
          <w:tcPr>
            <w:tcW w:w="3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130,279​​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143,260​</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​​$65,900,258​​</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​​$75,235,663​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Ninjas in Pyjamas</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 licensing</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3,237,176​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Sponsorships and advertising</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2,508,686​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Tournament participation of esports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2,242,477​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Player transfer and rental fee</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459,887​</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branded merchandise</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8,489,303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gridSpan w:val="9"/>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65,900,258</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83,724,966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20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For the years ended December 31, </w:t>
            </w:r>
            <w:r>
              <w:rPr>
                <w:rFonts w:ascii="Times New Roman" w:cs="Times New Roman" w:eastAsia="Times New Roman" w:hAnsi="Times New Roman"/>
                <w:sz w:val="28"/>
                <w:szCs w:val="28"/>
                <w:b w:val="1"/>
                <w:bCs w:val="1"/>
                <w:color w:val="auto"/>
                <w:w w:val="98"/>
                <w:vertAlign w:val="subscript"/>
              </w:rPr>
              <w:t>​</w:t>
            </w:r>
          </w:p>
        </w:tc>
        <w:tc>
          <w:tcPr>
            <w:tcW w:w="0" w:type="dxa"/>
            <w:vAlign w:val="bottom"/>
          </w:tcPr>
          <w:p>
            <w:pPr>
              <w:spacing w:after="0"/>
              <w:rPr>
                <w:sz w:val="1"/>
                <w:szCs w:val="1"/>
                <w:color w:val="auto"/>
              </w:rPr>
            </w:pPr>
          </w:p>
        </w:tc>
      </w:t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3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3,007,574​​</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990,626​</w:t>
            </w: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​62,892,684</w:t>
            </w:r>
            <w:r>
              <w:rPr>
                <w:rFonts w:ascii="Times New Roman" w:cs="Times New Roman" w:eastAsia="Times New Roman" w:hAnsi="Times New Roman"/>
                <w:sz w:val="31"/>
                <w:szCs w:val="31"/>
                <w:color w:val="auto"/>
                <w:vertAlign w:val="subscript"/>
              </w:rPr>
              <w:t>​​</w:t>
            </w:r>
          </w:p>
        </w:tc>
        <w:tc>
          <w:tcPr>
            <w:tcW w:w="1020" w:type="dxa"/>
            <w:vAlign w:val="bottom"/>
            <w:gridSpan w:val="4"/>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​82,734,340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65,900,258</w:t>
            </w:r>
            <w:r>
              <w:rPr>
                <w:rFonts w:ascii="Times New Roman" w:cs="Times New Roman" w:eastAsia="Times New Roman" w:hAnsi="Times New Roman"/>
                <w:sz w:val="28"/>
                <w:szCs w:val="28"/>
                <w:b w:val="1"/>
                <w:bCs w:val="1"/>
                <w:color w:val="auto"/>
                <w:vertAlign w:val="subscript"/>
              </w:rPr>
              <w:t>​​</w:t>
            </w:r>
          </w:p>
        </w:tc>
        <w:tc>
          <w:tcPr>
            <w:tcW w:w="104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83,724,966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-1379220</wp:posOffset>
            </wp:positionV>
            <wp:extent cx="41744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-2588260</wp:posOffset>
            </wp:positionV>
            <wp:extent cx="41744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-3985895</wp:posOffset>
            </wp:positionV>
            <wp:extent cx="41662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1662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41662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Esports teams operation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Tournament participation of esports</w:t>
      </w:r>
    </w:p>
    <w:p>
      <w:pPr>
        <w:spacing w:after="0" w:line="13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Group enters into contracts with esports event organizer, to have players participate in esports</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tournament such as Honor of Kings Pro League (“KPL”), League of Legends Pro League (“LPL”), Counter-Strike: Global Offensive (“CS: GO”) and Rainbow Six, etc.</w:t>
      </w:r>
    </w:p>
    <w:p>
      <w:pPr>
        <w:spacing w:after="0" w:line="99"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Group’s promises mainly consist of a) providing coaching, training and monitoring for esports players; b) selecting or arranging and monitoring the esports players to participate in tournaments and to participate in market events to promote the league and tournament. All the promises are not separately identifiable and are related to operate and participate in the overall esports event. All the promises are accounted for as a single performance obligation.</w:t>
      </w:r>
    </w:p>
    <w:p>
      <w:pPr>
        <w:spacing w:after="0" w:line="9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Except for the participation in LPL tournament, which esports event organizer promises a fixed amount of RMB 3 million per year, the transaction price is mainly determined by two factors, one is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amount of prize pool collected by esports event organizer during each competition season and proportion agreed in the contract, the other is based on the ranking of the Group in each competition season. No amount of variable consideration should be included in the transaction price, since it is not probable that a significant reversal of cumulative revenue recognized will not occur resulting from a change in estimate of the consideration the Group will receive upon finalized prize pool and its ranking. The Company will recognize the revenue of the prize money at each reporting date when the uncertainty is resolved.</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Esports event organizer could simultaneously receive and consume the benefits provided by the Group in the contract period, thus, the Group satisfies the performance obligation to esports event organizer over the contract period. Furthermore, the main cost to operate an esports team is the salary of players, hence, the Group uses input method to measure progress, and recognizes revenue on a straight-line basis during the tournament period.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IP licensing</w:t>
      </w:r>
    </w:p>
    <w:p>
      <w:pPr>
        <w:spacing w:after="0" w:line="14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Group enters contract with customer, and grants the customer a right-to-access license of the Group’s intellectual property (“IP”) in selling game props, skins, stickers and player cards. The form of IP does not have stand-alone functionality associated with the Group’s brand, and the utility of IP is significantly derived from the Group’s past or ongoing activities undertaken to maintain or support the IP. The Group identifies one performance obligation in each sales order of digital goods, that is, the right-to-access license of symbolic IP. The customer has the right-to-access license of the Group’s symbolic IP throughout license period and benefits from it as the Group’s ongoing activities will continue to support and maintain the IP’s utility. Thus, the Group uses input method to measure progress, and the revenues from IP licensing are recognized ratably over the contract term. The service consideration is reconciled and settled on a monthly basis, or the customer shall pay 30% of the total contract amount to the Group within seven days after signing the contract, and the remaining contract amount within seven days when the player cards hitting the market. The contract payment is not subject to any variable consideration or subsequent adjustment.</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Player transfer and rental fee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 enters into contracts with customer, mainly other esports team, to transfer or lease the</w:t>
      </w:r>
    </w:p>
    <w:p>
      <w:pPr>
        <w:spacing w:after="0" w:line="16"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players right owned by the Group. Player transfer and rental fee is a fixed amount as stated in the contract. The Group recognizes player transfer revenue at a point in time from transfer fees upon satisfaction of the performance obligation, which coincides with the time that the esports player is registered on the league transfer registration platform. The Group uses output method to measure progress, and recognizes player rental revenue on a straight-line basis over the contract period when the performance obligation is satisfied.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Sponsorships and advertising</w:t>
      </w:r>
    </w:p>
    <w:p>
      <w:pPr>
        <w:spacing w:after="0" w:line="16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Group offers advertisers or companies which like to be promoted a full range of promotional services, including but not limited to livestream announcements, content generation, social media posts, esports players to participate in the recording of advertising videos as customer spokesmen. In most of the cases, the sponsorship agreements may include multiple services that are capable of being individually distinct, however the intended benefit is an association with the Group’s brand and the services are not distinct within the context of the contracts. Customers could simultaneously receive and consume the benefits provided by the Group in the contract period, thus, the Group satisfies the performance obligation to the customers over the contract period. The Group uses input method to measure progress, since what the major inputs is the labor cost and expended evenly throughout the performance period. Revenues from sponsorship agreements are recognized ratably over the contract term. The contract payment is not subject to any variable consideration or subsequent adjustment. Whenever the Group completes the milestone agreed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upon in the contract, they will confirm with the customer, and settle the relevant service consideration after obtaining their confirmation. In instances where the timing of revenue recognition differs from the timing of billing, the Group has determined the agreements generally do not include a significant financing component.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Reality show service</w:t>
      </w:r>
    </w:p>
    <w:p>
      <w:pPr>
        <w:spacing w:after="0" w:line="14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Group provides service to the reality show hosted by customer in exchange for a fixed transaction price. The service includes seeking and engaging suitable guests to participate in the reality show, and providing planning and execution services for the reality show.</w:t>
      </w:r>
    </w:p>
    <w:p>
      <w:pPr>
        <w:spacing w:after="0" w:line="10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Group acts as the principal in providing the service to customers and recognizes revenue on gross basis because the Group acts as the main obligor in the arrangement and has the discretion to set up the contract price with customers.</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services are distinct as each episode, but services are substantially the same and have the same pattern of transfer to the customer, so the services accounted for as a single performance obligation which is satisfied in the period of reality show. Since the duration for each episode is almost the same, the progress is measured by the output method, which refers to the completion of each episode; thus, the Group recognizes the revenue on average when each episode is completed.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of branded merchandise</w:t>
      </w:r>
    </w:p>
    <w:p>
      <w:pPr>
        <w:spacing w:after="0" w:line="16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Group also sells branded merchandise such as mouse, keyboard, hoodie etc. at official online store. The transaction price is fixed. The Group recognizes revenues from sales of branded merchandise at a point of time when the merchandise is delivered to the customer in sound condition.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Event production</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Event production</w:t>
      </w:r>
    </w:p>
    <w:p>
      <w:pPr>
        <w:spacing w:after="0" w:line="146"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Group provides customized esports or other event production upon requests from its customers in exchange for a fixed transaction price. The services generally entail design, logistics, layout of events, and coordination and supervision of the actual event set-up and implementation. These services are not distinct within the context of the contracts and are considered as a single performance obligation.</w:t>
      </w:r>
    </w:p>
    <w:p>
      <w:pPr>
        <w:spacing w:after="0" w:line="110"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The Group satisfies the performance obligation to customers over the contract period as the service rendered and recognizes the revenue on a straight-line basis over the contract period using the output method, which is based on the development milestones periodically confirmed by customers. The service consideration is reconciled and settled based on the development milestones periodically confirmed by customers.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Talent management service</w:t>
      </w:r>
    </w:p>
    <w:p>
      <w:pPr>
        <w:spacing w:after="0" w:line="14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There are two types of talent management service. One type is provided by esports players which is recorded in talent management service of esports, the other type is provided by third-party online entertainers which is recorded in talent management service of third-party online entertainers.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Provided by esports players</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Group cooperates with online platform operator, to arrange its owned esports players to provide live streaming of esports games on an online platform. Through this means, online platform operator attracts more audience to their platform and pays service fee to the Group accordingly.</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Provided by third-party online entertainers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Group establishes a live streaming talent agency, seeks and engages third party online entertainers to register as members of the talent agency. The Group provides training to these online entertainers, and recommends them to provide live streaming on the online platforms. Online platform operator enters tripartite business contract with the Group and the online entertainer. The Group provides talent management service to online platform operator inclusive of the recommendation of online entertainers to deliver live stream, management of online entertainers, training of online entertainers and monitoring of live stream content, etc. The Group charges service fee from online platform operator. The Group pays the online entertainers according to the supplier contract signed with him/her.</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For both types of talent management service, the Group regards itself as a principal and recognizes revenue on a gross basis as it controls the services based on i) the primary responsibility for the integrated talent management service in the aspect of establishing the talent agency where the online entertainers register, reserving the right to recommend online entertainers, designate third-party online entertainers’ live content and duration, the provision of management and training of online entertainers; ii) the inventory risk to bear the consequence of any breach of contract caused by the Group as well as online entertainers; and</w:t>
      </w:r>
    </w:p>
    <w:p>
      <w:pPr>
        <w:spacing w:after="0" w:line="5" w:lineRule="exact"/>
        <w:rPr>
          <w:sz w:val="20"/>
          <w:szCs w:val="20"/>
          <w:color w:val="auto"/>
        </w:rPr>
      </w:pPr>
    </w:p>
    <w:p>
      <w:pPr>
        <w:ind w:left="1260" w:right="419"/>
        <w:spacing w:after="0" w:line="258" w:lineRule="auto"/>
        <w:tabs>
          <w:tab w:leader="none" w:pos="153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in setting up the price, rather than accepting a fixed percentage of transaction amount imposed by the online platforms and third party online entertainers.</w:t>
      </w:r>
    </w:p>
    <w:p>
      <w:pPr>
        <w:spacing w:after="0" w:line="10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consideration is variable that determined by the agreed online entertainers’ popularity ranking, and virtual gifts rewarded from the audience. The variable bonus shall be paid by online platform operators after the ranking agreed in the contract is reached. The variable amount related to virtual currencies shall be confirmed by online platform operators at the end of each month, and paid by next month. For talent management service provided by esports players, the variable service fee also depends on the rank of esports team on tournament.</w:t>
      </w:r>
    </w:p>
    <w:p>
      <w:pPr>
        <w:spacing w:after="0" w:line="32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Group provides live stream services to online platform operators, the service including a) recommending its live streaming talent agency online entertainers to provide live stream on platform; b) providing live stream management service to online entertainers, including training online entertainers and monitoring the live stream content. Online platform operators could not benefit from these services separately, these services are not distinct and combined as a performance obligation. The Group satisfies the performance obligation to customer over the contract period and recognizes revenue when the variable consideration is expected to be entitled and a significant future reversal of cumulative revenue under the contract will not occur, that is the date on which the Group and customer agrees the service fee monthly. Therefore, the service consideration is reconciled and settled on a monthly basis.</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For all the revenue streams, the contract payment is not subject to any refund, cancellation or termination provision. No significant financing component, noncash payment identified in the arrangements with customers.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 applies the practical expedient in Topic 606 that permits the recognition of incremental</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costs of obtaining contracts as an expense when incurred if the amortization period of such costs is one year or less. These costs are included in cost of revenues.</w:t>
      </w:r>
    </w:p>
    <w:p>
      <w:pPr>
        <w:spacing w:after="0" w:line="113"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Payment terms are established on the Group’s pre-established credit requirements based upon an evaluation of customers’ credit. Contract assets are recognized for in related accounts receivable.</w:t>
      </w:r>
    </w:p>
    <w:p>
      <w:pPr>
        <w:spacing w:after="0" w:line="95"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Deferred revenue, which representing a contract liability, represents mostly unrecognized revenue amount received from customers. The balance of deferred revenue is recognized as revenue upon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519"/>
        <w:spacing w:after="0" w:line="257" w:lineRule="auto"/>
        <w:rPr>
          <w:sz w:val="20"/>
          <w:szCs w:val="20"/>
          <w:color w:val="auto"/>
        </w:rPr>
      </w:pPr>
      <w:r>
        <w:rPr>
          <w:rFonts w:ascii="Times New Roman" w:cs="Times New Roman" w:eastAsia="Times New Roman" w:hAnsi="Times New Roman"/>
          <w:sz w:val="18"/>
          <w:szCs w:val="18"/>
          <w:color w:val="auto"/>
        </w:rPr>
        <w:t>completion of performance obligations. The Group’s deferred revenue amounted to $208,685 and $500,785 as of December 31, 2022 and 2023, respectively. The Group’s deferred revenue which recorded in amounts due to related parties amounted to $1,310,804 and $609,009 as of December 31, 2022 and December 31, 2023, respectively. Revenue recognized in the period that was included in the beginning of the period contract liability balance were $3,400,177 and $758,410 for the years ended December 31, 2022 and 2023, respectively.</w:t>
      </w:r>
    </w:p>
    <w:p>
      <w:pPr>
        <w:spacing w:after="0" w:line="33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contract liabilities or deferred contract costs recorded on its consolidated balance sheets as of December 31, 2022 and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has not yet been recognized, which includes deferred revenue and amounts that will be invoiced and recognized as revenue in future periods.</w:t>
      </w:r>
    </w:p>
    <w:p>
      <w:pPr>
        <w:spacing w:after="0" w:line="9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2022, the aggregate amount of the transaction price allocated to the remaining performance obligation is $1,459,005, and the Group will recognize this revenue related to sponsorships and advertising over the remaining contract periods over 1 to 3 years. As of December 31, 2023, the aggregate amount of the transaction price allocated to the remaining performance obligation is $4,339,221, and the Group will recognize this revenue related to sponsorships and advertising over the remaining contract periods over 0.1 to 2.7 years.</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Group has elected, as a practical expedient, not to disclose the transaction price allocated to unsatisfied or partially unsatisfied performance obligations that are part of a contract that has an original expected duration of one year or less. These performance obligations are related to the revenue of sponsorships and advertising, and event production.</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6"/>
          <w:szCs w:val="16"/>
          <w:b w:val="1"/>
          <w:bCs w:val="1"/>
          <w:i w:val="1"/>
          <w:iCs w:val="1"/>
          <w:color w:val="auto"/>
        </w:rPr>
        <w:t>Value added tax (“VAT”)</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Group is subject to VAT and related surcharges on revenue generated from sales of products. The Group records revenue net of VAT. This VAT may be offset by qualified input VAT paid by the Group to suppliers. Net VAT balance between input VAT and output VAT is recorded in the line item of other current assets on the consolidated balance sheets.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PRC VAT rate is 6% or 1% for taxpayers providing services and 13% for product sales for</w:t>
      </w:r>
    </w:p>
    <w:p>
      <w:pPr>
        <w:spacing w:after="0" w:line="27"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the years ended December 31, 2022 and 2023. For revenue generated from services, the VAT rate is 6% for the entities that qualified as general tax payers, which are allowed to offset qualified input VAT paid to suppliers against their output VAT liabilities. The VAT rate is 1% for the entities that qualified as small-scale taxpayers, which are not allowed to offset qualified input VAT paid to suppliers against their output VAT.</w:t>
      </w:r>
    </w:p>
    <w:p>
      <w:pPr>
        <w:spacing w:after="0" w:line="3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standard VAT rate is 25% in Sweden, applicable to all the goods and services provided in Sweden for the years ended December 31, 2022 and 2023. Entities with a Swedish VAT number are allowed to offset qualified input VAT, paid to suppliers against their output VAT.</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Cost of revenues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salaries and bonus of esports player, talent management service fee paid to online entertainers, the cost of venue set-up and service fee paid to other parties for event production, depreciation of long-lived assets and amortization of intangible asset related to esports or talent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management service, cost of merchandise sold, as well as related costs that are directly attributable to the Group’s principal operations.</w:t>
      </w:r>
    </w:p>
    <w:p>
      <w:pPr>
        <w:spacing w:after="0" w:line="1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Selling and marketing expenses</w:t>
      </w:r>
    </w:p>
    <w:p>
      <w:pPr>
        <w:spacing w:after="0" w:line="14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Selling and marketing expenses mainly consist of (i) staff cost, (ii) advertising costs and market promotion expenses.</w:t>
      </w:r>
    </w:p>
    <w:p>
      <w:pPr>
        <w:spacing w:after="0" w:line="1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(r)</w:t>
      </w:r>
      <w:r>
        <w:rPr>
          <w:sz w:val="20"/>
          <w:szCs w:val="20"/>
          <w:color w:val="auto"/>
        </w:rPr>
        <w:tab/>
      </w:r>
      <w:r>
        <w:rPr>
          <w:rFonts w:ascii="Times New Roman" w:cs="Times New Roman" w:eastAsia="Times New Roman" w:hAnsi="Times New Roman"/>
          <w:sz w:val="17"/>
          <w:szCs w:val="17"/>
          <w:b w:val="1"/>
          <w:bCs w:val="1"/>
          <w:i w:val="1"/>
          <w:iCs w:val="1"/>
          <w:color w:val="auto"/>
        </w:rPr>
        <w:t>General and administrative expenses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mainly consist of (i) professional service fees; (ii) staff cost, rental and depreciation related to general and administrative personnel, (iii) share-based compensation and (iv) other corporate expenses.</w:t>
      </w:r>
    </w:p>
    <w:p>
      <w:pPr>
        <w:spacing w:after="0" w:line="18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(s)</w:t>
      </w:r>
      <w:r>
        <w:rPr>
          <w:sz w:val="20"/>
          <w:szCs w:val="20"/>
          <w:color w:val="auto"/>
        </w:rPr>
        <w:tab/>
      </w:r>
      <w:r>
        <w:rPr>
          <w:rFonts w:ascii="Times New Roman" w:cs="Times New Roman" w:eastAsia="Times New Roman" w:hAnsi="Times New Roman"/>
          <w:sz w:val="17"/>
          <w:szCs w:val="17"/>
          <w:b w:val="1"/>
          <w:bCs w:val="1"/>
          <w:i w:val="1"/>
          <w:iCs w:val="1"/>
          <w:color w:val="auto"/>
        </w:rPr>
        <w:t>Share-based compensation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Group periodically grants share-based awards to the Group’s eligible employees, which are subject to service conditions.</w:t>
      </w:r>
    </w:p>
    <w:p>
      <w:pPr>
        <w:spacing w:after="0" w:line="6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Share-based awards are measured at the grant date fair value of the equity instrument issued and are recognized as general and administrative expense with graded-vesting schedules over the requisite service period for each separately vesting portion (or tranche) of the award. The Group elects to recognize the effect of forfeitures in general and administrative expense when they occur. To the extent the required vesting conditions are not met resulting in the forfeiture of the share-based awards, previously recognized general and administrative expense relating to those awards is reversed.</w:t>
      </w:r>
    </w:p>
    <w:p>
      <w:pPr>
        <w:spacing w:after="0" w:line="176" w:lineRule="exact"/>
        <w:rPr>
          <w:sz w:val="20"/>
          <w:szCs w:val="20"/>
          <w:color w:val="auto"/>
        </w:rPr>
      </w:pPr>
    </w:p>
    <w:p>
      <w:pPr>
        <w:ind w:left="1620" w:hanging="360"/>
        <w:spacing w:after="0"/>
        <w:tabs>
          <w:tab w:leader="none" w:pos="162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defined contribution plan</w:t>
      </w:r>
    </w:p>
    <w:p>
      <w:pPr>
        <w:spacing w:after="0" w:line="162" w:lineRule="exact"/>
        <w:rPr>
          <w:sz w:val="20"/>
          <w:szCs w:val="20"/>
          <w:color w:val="auto"/>
        </w:rPr>
      </w:pPr>
    </w:p>
    <w:p>
      <w:pPr>
        <w:ind w:left="1260" w:right="759" w:firstLine="360"/>
        <w:spacing w:after="0" w:line="247" w:lineRule="auto"/>
        <w:rPr>
          <w:sz w:val="20"/>
          <w:szCs w:val="20"/>
          <w:color w:val="auto"/>
        </w:rPr>
      </w:pPr>
      <w:r>
        <w:rPr>
          <w:rFonts w:ascii="Times New Roman" w:cs="Times New Roman" w:eastAsia="Times New Roman" w:hAnsi="Times New Roman"/>
          <w:sz w:val="18"/>
          <w:szCs w:val="18"/>
          <w:color w:val="auto"/>
        </w:rPr>
        <w:t>According to the regulations of the PRC, full- time eligible employees of the Group in the PRC are entitled to various government statutory employee benefit plans, including medical insurance, maternity insurance, workplace injury insurance, unemployment insurance and pension benefits through a PRC government-mandated multi- employer defined contribution plan. The Group is required to make contributions to the plan and accrues for these benefits based on certain percentages of the qualified employees’ salaries. The Group has no further commitments beyond its required contribution.</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(u)</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639"/>
        <w:spacing w:after="0" w:line="251" w:lineRule="auto"/>
        <w:rPr>
          <w:sz w:val="20"/>
          <w:szCs w:val="20"/>
          <w:color w:val="auto"/>
        </w:rPr>
      </w:pPr>
      <w:r>
        <w:rPr>
          <w:rFonts w:ascii="Times New Roman" w:cs="Times New Roman" w:eastAsia="Times New Roman" w:hAnsi="Times New Roman"/>
          <w:sz w:val="18"/>
          <w:szCs w:val="18"/>
          <w:color w:val="auto"/>
        </w:rPr>
        <w:t>income tax assets and liabilities, classification of current and deferred income tax assets and liabilities, accounting for interest and penalties associated with tax positions, and related disclosures. Penalties and interest incurred related to underpayment of income tax are classified as income tax expense in the period incurred. The Group’s operating subsidiaries in PRC are subject to examination by the relevant tax authorities.</w:t>
      </w:r>
    </w:p>
    <w:p>
      <w:pPr>
        <w:spacing w:after="0" w:line="32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operation for the years ended December 31, 2022 and 2023, respectively.</w:t>
      </w:r>
    </w:p>
    <w:p>
      <w:pPr>
        <w:spacing w:after="0" w:line="10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(v)</w:t>
      </w:r>
      <w:r>
        <w:rPr>
          <w:sz w:val="20"/>
          <w:szCs w:val="20"/>
          <w:color w:val="auto"/>
        </w:rPr>
        <w:tab/>
      </w:r>
      <w:r>
        <w:rPr>
          <w:rFonts w:ascii="Times New Roman" w:cs="Times New Roman" w:eastAsia="Times New Roman" w:hAnsi="Times New Roman"/>
          <w:sz w:val="17"/>
          <w:szCs w:val="17"/>
          <w:b w:val="1"/>
          <w:bCs w:val="1"/>
          <w:i w:val="1"/>
          <w:iCs w:val="1"/>
          <w:color w:val="auto"/>
        </w:rPr>
        <w:t>Non-controlling Interest</w:t>
      </w:r>
    </w:p>
    <w:p>
      <w:pPr>
        <w:spacing w:after="0" w:line="14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A non-controlling interest in a subsidiary of the Group represents the portion of the equity (net assets) in the subsidiary not directly or indirectly attributable to the Group. Non- controlling interests are presented as a separate component of equity on the consolidated balance sheets and net income and other comprehensive income attributable to non-controlling shareholders are presented as a separate component on the consolidated statements of operations.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  Foreign currency transactions and translations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Company’s PRC subsidiaries is RMB, which is the local currency used by the subsidiaries to determine financial position and operation result.</w:t>
      </w:r>
    </w:p>
    <w:p>
      <w:pPr>
        <w:spacing w:after="0" w:line="81"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The functional currency of Ninjas in Pyjamas is SEK, which is the local currency used by the subsidiary to determine financial position and operation result.</w:t>
      </w:r>
    </w:p>
    <w:p>
      <w:pPr>
        <w:spacing w:after="0" w:line="9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Group’s financial statements are reported using U.S. Dollars (“$”). The results of operations and the consolidated statements of cash flows denominated in functional currency is translated at the average rate of exchange during the reporting period. Assets and liabilities denominated in functional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included in consolidated statements of changes in equity (deficit). Gains or losses from foreign currency transactions are included in the results of operations.</w:t>
      </w:r>
    </w:p>
    <w:p>
      <w:pPr>
        <w:spacing w:after="0" w:line="12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value of RMB and SEK against $ and other currencies may fluctuate and is affected by, among other things, changes in political and economic conditions of the PRC and Sweden. Any significant revaluation of RMB and SEK may materially affect the Group’s financial condition in terms of $ reporting. The following table outlines the currency exchange rates that were used in creating the consolidated financial statements:</w:t>
      </w:r>
    </w:p>
    <w:p>
      <w:pPr>
        <w:spacing w:after="0" w:line="34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3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6.8972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7.0999​</w:t>
            </w: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Not applicable</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10.0506​</w:t>
            </w:r>
          </w:p>
        </w:tc>
        <w:tc>
          <w:tcPr>
            <w:tcW w:w="40" w:type="dxa"/>
            <w:vAlign w:val="bottom"/>
            <w:tcBorders>
              <w:left w:val="single" w:sz="8" w:color="CCEEFF"/>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-470535</wp:posOffset>
            </wp:positionV>
            <wp:extent cx="43630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For the Years Ended December 31, </w:t>
            </w:r>
            <w:r>
              <w:rPr>
                <w:rFonts w:ascii="Times New Roman" w:cs="Times New Roman" w:eastAsia="Times New Roman" w:hAnsi="Times New Roman"/>
                <w:sz w:val="28"/>
                <w:szCs w:val="28"/>
                <w:b w:val="1"/>
                <w:bCs w:val="1"/>
                <w:color w:val="auto"/>
                <w:w w:val="98"/>
                <w:vertAlign w:val="subscript"/>
              </w:rPr>
              <w:t>​</w:t>
            </w:r>
          </w:p>
        </w:tc>
      </w:t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 and comprehensive loss, and</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4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6.7290</w:t>
            </w:r>
          </w:p>
        </w:tc>
        <w:tc>
          <w:tcPr>
            <w:tcW w:w="320" w:type="dxa"/>
            <w:vAlign w:val="bottom"/>
          </w:tcPr>
          <w:p>
            <w:pPr>
              <w:spacing w:after="0"/>
              <w:rPr>
                <w:sz w:val="22"/>
                <w:szCs w:val="22"/>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Not applicable</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10.6105</w:t>
            </w:r>
          </w:p>
        </w:tc>
        <w:tc>
          <w:tcPr>
            <w:tcW w:w="4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-633730</wp:posOffset>
            </wp:positionV>
            <wp:extent cx="432054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97"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No representation is made that the RMB amounts and SEK amounts could have been, or could be, converted into U.S. dollars at the rates used in translation.</w:t>
      </w:r>
    </w:p>
    <w:p>
      <w:pPr>
        <w:spacing w:after="0" w:line="95" w:lineRule="exact"/>
        <w:rPr>
          <w:sz w:val="20"/>
          <w:szCs w:val="20"/>
          <w:color w:val="auto"/>
        </w:rPr>
      </w:pPr>
    </w:p>
    <w:p>
      <w:pPr>
        <w:jc w:val="both"/>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For RMB against U.S. dollar, there was depreciation of approximately 2.9% during the year ended December 31, 2023. It is difficult to predict how market forces or PRC or U.S. government policy may impact the exchange rate between the RMB and the U.S. dollar in the future.</w:t>
      </w:r>
    </w:p>
    <w:p>
      <w:pPr>
        <w:spacing w:after="0" w:line="109"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For SEK against U.S. dollar, there was appreciation of approximately 3.5% during the year ended December 31, 2023. It is difficult to predict how market forces or European Union or U.S. government policy may impact the exchange rate between the SEK and the U.S. dollar in the future.</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To the extent that the Group needs to convert U.S. dollar into RMB and SEK for capital expenditures and working capital and other business purposes, appreciation of RMB and SEK against the U.S. dollar would have an adverse effect on the RMB and SEK amount of the Group would receive from the conversion. Conversely, if the Group decides to convert RMB and SEK into U.S. dollar for the purpose of making payments for working capital, dividends on ordinary shares, strategic acquisitions or investments or other business purposes, appreciation of U.S. dollar against RMB and SEK would have a negative effect on the U.S. dollar amount available to the Group. In addition, a significant depreciation of the RMB and SEK against the U.S. dollar may significantly reduce the U.S. dollar equivalent of the Group’s earnings or losses.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13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The Group’s cash and cash equivalents denominated in RMB that are subject to such government controls.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Chinese mainland must be processed through the PBOC or other Chinese foreign exchange regulatory bodies which require certain supporting documentation in order to process the remittance.</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4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RMB and SEK has fluctuated against the US$, at times significantly and unpredictably during the reporting periods. The depreciation of the RMB against the US$ was approximately 8% and 3% for the years ended December 31, 2022 and 2023, respectively. The appreciation of the SEK against the US$ was approximately 4% for the years ended December 31, 2023. It is difficult to predict how market forces or the PRC, Swedish or U.S. government policy may impact the exchange rate between the RMB, SEK and the US$ in the future.</w:t>
      </w:r>
    </w:p>
    <w:p>
      <w:pPr>
        <w:spacing w:after="0" w:line="15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(x)</w:t>
      </w:r>
      <w:r>
        <w:rPr>
          <w:sz w:val="20"/>
          <w:szCs w:val="20"/>
          <w:color w:val="auto"/>
        </w:rPr>
        <w:tab/>
      </w:r>
      <w:r>
        <w:rPr>
          <w:rFonts w:ascii="Times New Roman" w:cs="Times New Roman" w:eastAsia="Times New Roman" w:hAnsi="Times New Roman"/>
          <w:sz w:val="17"/>
          <w:szCs w:val="17"/>
          <w:b w:val="1"/>
          <w:bCs w:val="1"/>
          <w:i w:val="1"/>
          <w:iCs w:val="1"/>
          <w:color w:val="auto"/>
        </w:rPr>
        <w:t>Loss per share</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taking into consideration the deemed dividends to preferred shareholders (if any), by the weighted average number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ordinary shares outstanding during the year using the two-class method. Under the two-class method, net 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losses are not allocated to other participating securities if based on their contractual terms they are not obligated to share the losses.</w:t>
      </w:r>
    </w:p>
    <w:p>
      <w:pPr>
        <w:spacing w:after="0" w:line="112" w:lineRule="exact"/>
        <w:rPr>
          <w:sz w:val="20"/>
          <w:szCs w:val="20"/>
          <w:color w:val="auto"/>
        </w:rPr>
      </w:pPr>
    </w:p>
    <w:p>
      <w:pPr>
        <w:ind w:left="1260" w:right="759" w:firstLine="360"/>
        <w:spacing w:after="0" w:line="247"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consist of ordinary shares issuable upon the exercise of share options using the treasury stock method. Ordinary equivalent shares are not included in the denominator of the diluted loss per share calculation when inclusion of such share would be anti-dilutive.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(y)</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chief operating decision makers, CEOs, reviews segment results when making decisions about allocating resources and assessing performance of the Group.</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a result of the assessment made by CODM, the Group has two operating segments: Ninjas in Pyjamas, and entities registered in PRC, Hong Kong and Cayman Island, which operates in PRC (“PRC and other entities”). The Group considers a “management approach” concept as the basis for identifying reportable segments. The management approach considers the internal organization and reporting used by the Group’s chief operating decision maker for making operating decisions and assessing performance as the source for determining the Group’s reportable segments. The Group’s reportable segments are business units that operate in different countries. Ninjas in Pyjamas, operates in Sweden, which is subject to different regulatory environment than other entities which operate in the PRC.</w:t>
      </w:r>
    </w:p>
    <w:p>
      <w:pPr>
        <w:spacing w:after="0" w:line="18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(z)</w:t>
      </w:r>
      <w:r>
        <w:rPr>
          <w:sz w:val="20"/>
          <w:szCs w:val="20"/>
          <w:color w:val="auto"/>
        </w:rPr>
        <w:tab/>
      </w:r>
      <w:r>
        <w:rPr>
          <w:rFonts w:ascii="Times New Roman" w:cs="Times New Roman" w:eastAsia="Times New Roman" w:hAnsi="Times New Roman"/>
          <w:sz w:val="17"/>
          <w:szCs w:val="17"/>
          <w:b w:val="1"/>
          <w:bCs w:val="1"/>
          <w:i w:val="1"/>
          <w:iCs w:val="1"/>
          <w:color w:val="auto"/>
        </w:rPr>
        <w:t>Operating lease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January 1, 2022, the Group adopted Accounting Standards Update (“ASU”) 2016-02, Lease (FASB ASC Topic 842), using the non-comparative transition option pursuant to ASU 2018-11. Therefore, the Group has not restated comparative period financial information for the effects of ASC 842, and will not make the new required lease disclosures for comparative periods beginning before January 1, 2022. 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24"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lease payments. The operating lease right-of-use assets also include lease payments made before commencement and exclude lease incentives. 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(aa) Recent accounting pronouncements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after December 15, 2023. The Group concluded that no effect of the adoption of this ASU.</w:t>
      </w:r>
    </w:p>
    <w:p>
      <w:pPr>
        <w:spacing w:after="0" w:line="118"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860- 30 Transfers and Servicing —  Secured Borrowing and Collateral, 932-235 Extractive Activities — Oil and Gas — Notes to Financial Statements, 946-20 Financial Services — Investment Companies — Investment Company Activities, and 974-10 Real 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spacing w:after="0" w:line="33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November 2023, the FASB issued ASU 2023-07, which is an update to Topic 280, Segment Reporting. The amendments in this Update improve financial reporting by requiring disclosure of incremental segment information on an annual and interim basis for all public entities to enable investors to develop more decision-useful financial analyses. The amendments in this update: (1) require that a public entity disclose, on an annual and interim basis, significant segment expenses that are regularly provided to the chief operating decision maker (CODM) and included within each reported measure of segment profit or loss (collectively referred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659"/>
        <w:spacing w:after="0" w:line="247" w:lineRule="auto"/>
        <w:rPr>
          <w:sz w:val="20"/>
          <w:szCs w:val="20"/>
          <w:color w:val="auto"/>
        </w:rPr>
      </w:pPr>
      <w:r>
        <w:rPr>
          <w:rFonts w:ascii="Times New Roman" w:cs="Times New Roman" w:eastAsia="Times New Roman" w:hAnsi="Times New Roman"/>
          <w:sz w:val="18"/>
          <w:szCs w:val="18"/>
          <w:color w:val="auto"/>
        </w:rPr>
        <w:t>as the “significant expense principle”), (2) 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spacing w:after="0" w:line="3" w:lineRule="exact"/>
        <w:rPr>
          <w:sz w:val="20"/>
          <w:szCs w:val="20"/>
          <w:color w:val="auto"/>
        </w:rPr>
      </w:pPr>
    </w:p>
    <w:p>
      <w:pPr>
        <w:ind w:left="1260" w:right="439"/>
        <w:spacing w:after="0"/>
        <w:tabs>
          <w:tab w:leader="none" w:pos="152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provide all annual disclosures about a reportable segment’s profit or loss and assets currently required by Topic 280 in interim periods, and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 (5) Require that a public entity disclose the title and position of the CODM and an explanation of how the CODM uses the reported measure(s) of segment profit or loss in assessing segment performance and deciding how to allocate resources, and (6) Require that a public entity that has a single reportable segment provide all the disclosures required by the amendments in this Update and all existing segment disclosures in Topic 280. The amendments in this Update also do not change how a public entity identifies its operating segments, aggregates those operating segments, or applies the quantitative thresholds to determine its reportable segments.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Group is evaluating the effect this guidance will have on the Group’s segment disclosures.</w:t>
      </w:r>
    </w:p>
    <w:p>
      <w:pPr>
        <w:spacing w:after="0" w:line="275"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5 The other amendments in this Update improve the effectiveness and comparability of disclosures by (1) adding disclosures of pretax income (or loss) and income tax expense (or benefit) to be consistent with U.S. Securities and Exchange Commission (SEC) Regulation S-X 210.4-08(h), Rules of General Application — General Notes to Financial Statements: Income Tax Expense, and</w:t>
      </w:r>
    </w:p>
    <w:p>
      <w:pPr>
        <w:spacing w:after="0" w:line="7" w:lineRule="exact"/>
        <w:rPr>
          <w:sz w:val="20"/>
          <w:szCs w:val="20"/>
          <w:color w:val="auto"/>
        </w:rPr>
      </w:pPr>
    </w:p>
    <w:p>
      <w:pPr>
        <w:ind w:left="1260" w:right="459"/>
        <w:spacing w:after="0" w:line="241" w:lineRule="auto"/>
        <w:tabs>
          <w:tab w:leader="none" w:pos="152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The Company is evaluating the effect this guidance will have on tax disclosures.</w:t>
      </w:r>
    </w:p>
    <w:p>
      <w:pPr>
        <w:spacing w:after="0" w:line="27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Company does not discuss recent standards that are not anticipated to have an impact on or are unrelated to its consolidated financial condition, results of operations, cash flows or disclosures.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On January 10, 2023, the Group completed an acquisition through a series of agreements with the shareholders of Ninjas in Pyjamas (Note 1).</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accordance with ASC 805, (i) the transaction was identified as business combination with third party; (ii) the Company was identified as accounting acquirer and the acquisition date was January 10, 2023; (iii) the Company conducted the acquisition by issuing 43,044,524 Class B-1 Preferred Shares to original shareholders of Ninjas in Pyjamas and the Company elected to use fair value of the acquirer’s equity interest as the consideration transferred since the Company has multiple rounds of equity financing from third parties prior to IPO, and the fair value of acquirer’s equity interest was estimated by discounted cash flow method under income approach model. The excess of consideration over the fair value of assets and liabilities of businesses acquired shall be recognized as goodwill. The Company engaged an independent valuation appraiser to assist in identification and evaluation of fair value of issued shares for acquisition and identifiable assets acquired and liabilities assumed as of the acquisition date. Pursuant to ASC 830-30-45-3 and ASC 830-30- 45-11, after the initial recognition, the Group recognized the fair values of the acquired assets and liabilities and translated the individual assets (including goodwill) of Ninjas in Pyjamas from SEK to USD, the Group elects not to apply pushdown accounting in Ninjas in Pyjamas’ separate financial statements and maintains the records necessary to adjust the consolidated amounts to what they would have been had the amounts been recorded in the Ninjas in Pyjamas’ books and records.</w:t>
      </w:r>
    </w:p>
    <w:p>
      <w:pPr>
        <w:spacing w:after="0" w:line="12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Group used the following valuation methodologies to value assets acquired, liabilities assumed and intangible assets identified:</w:t>
      </w:r>
    </w:p>
    <w:p>
      <w:pPr>
        <w:spacing w:after="0" w:line="67" w:lineRule="exact"/>
        <w:rPr>
          <w:sz w:val="20"/>
          <w:szCs w:val="20"/>
          <w:color w:val="auto"/>
        </w:rPr>
      </w:pPr>
    </w:p>
    <w:p>
      <w:pPr>
        <w:ind w:left="1900" w:right="459" w:hanging="288"/>
        <w:spacing w:after="0" w:line="266" w:lineRule="auto"/>
        <w:rPr>
          <w:sz w:val="20"/>
          <w:szCs w:val="20"/>
          <w:color w:val="auto"/>
        </w:rPr>
      </w:pPr>
      <w:r>
        <w:rPr>
          <w:rFonts w:ascii="Times New Roman" w:cs="Times New Roman" w:eastAsia="Times New Roman" w:hAnsi="Times New Roman"/>
          <w:sz w:val="18"/>
          <w:szCs w:val="18"/>
          <w:color w:val="auto"/>
        </w:rPr>
        <w:t>— Intangible assets — league tournaments right were valued using the multi-period excess earning method under income approach, which represents the excessive earnings generated by the asset that remains after a deduction for a return on other contributory assets;</w:t>
      </w:r>
    </w:p>
    <w:p>
      <w:pPr>
        <w:spacing w:after="0" w:line="108" w:lineRule="exact"/>
        <w:rPr>
          <w:sz w:val="20"/>
          <w:szCs w:val="20"/>
          <w:color w:val="auto"/>
        </w:rPr>
      </w:pPr>
    </w:p>
    <w:p>
      <w:pPr>
        <w:ind w:left="1900" w:right="559" w:hanging="288"/>
        <w:spacing w:after="0" w:line="266" w:lineRule="auto"/>
        <w:rPr>
          <w:sz w:val="20"/>
          <w:szCs w:val="20"/>
          <w:color w:val="auto"/>
        </w:rPr>
      </w:pPr>
      <w:r>
        <w:rPr>
          <w:rFonts w:ascii="Times New Roman" w:cs="Times New Roman" w:eastAsia="Times New Roman" w:hAnsi="Times New Roman"/>
          <w:sz w:val="18"/>
          <w:szCs w:val="18"/>
          <w:color w:val="auto"/>
        </w:rPr>
        <w:t>— Intangible assets — Brand name were valued using the relief from royalty method under income approach, which represents the benefits of owning the intangible asset rather than paying royalties for its right of use;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Other assets and liabilities carrying value approximated fair value at the time of acquisition.</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the acquisition date January 10, 2023, the allocation of the consideration of the assets acquired and liabilities assumed based on their fair value was as follows:</w:t>
      </w:r>
    </w:p>
    <w:p>
      <w:pPr>
        <w:sectPr>
          <w:pgSz w:w="11900" w:h="16838" w:orient="portrait"/>
          <w:cols w:equalWidth="0" w:num="1">
            <w:col w:w="9879"/>
          </w:cols>
          <w:pgMar w:left="580" w:top="97" w:right="1440" w:bottom="1440" w:gutter="0" w:footer="0" w:header="0"/>
        </w:sectPr>
      </w:pP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Fair value of the assets acquired and the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714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working capital</w:t>
      </w:r>
      <w:r>
        <w:rPr>
          <w:rFonts w:ascii="Times New Roman" w:cs="Times New Roman" w:eastAsia="Times New Roman" w:hAnsi="Times New Roman"/>
          <w:sz w:val="23"/>
          <w:szCs w:val="23"/>
          <w:color w:val="auto"/>
          <w:vertAlign w:val="superscript"/>
        </w:rPr>
        <w:t>(1)</w:t>
      </w:r>
    </w:p>
    <w:p>
      <w:pPr>
        <w:spacing w:after="0" w:line="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-3175</wp:posOffset>
            </wp:positionV>
            <wp:extent cx="4749165"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Intangible assets – league tournaments right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 Brand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 Talent acquisition costs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Non-operating asset/liability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23"/>
          <w:szCs w:val="23"/>
          <w:color w:val="auto"/>
          <w:vertAlign w:val="superscript"/>
        </w:rPr>
        <w:t>(2)</w:t>
      </w:r>
    </w:p>
    <w:p>
      <w:pPr>
        <w:spacing w:after="0" w:line="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identifiable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5080</wp:posOffset>
            </wp:positionV>
            <wp:extent cx="4749165" cy="1803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123444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40" w:val="left"/>
          <w:tab w:leader="none" w:pos="12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168,000,000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1,989,535​</w:t>
            </w:r>
          </w:p>
        </w:tc>
      </w:tr>
      <w:tr>
        <w:trPr>
          <w:trHeight w:val="2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61,925​</w:t>
            </w:r>
          </w:p>
        </w:tc>
      </w:tr>
    </w:tbl>
    <w:p>
      <w:pPr>
        <w:ind w:left="40"/>
        <w:spacing w:after="0"/>
        <w:rPr>
          <w:sz w:val="20"/>
          <w:szCs w:val="20"/>
          <w:color w:val="auto"/>
        </w:rPr>
      </w:pPr>
      <w:r>
        <w:rPr>
          <w:rFonts w:ascii="Times New Roman" w:cs="Times New Roman" w:eastAsia="Times New Roman" w:hAnsi="Times New Roman"/>
          <w:sz w:val="18"/>
          <w:szCs w:val="18"/>
          <w:color w:val="auto"/>
        </w:rPr>
        <w:t>​ ​​ ​ 45,985,000​</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24,053,000​</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907,590​</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34,020​</w:t>
            </w:r>
          </w:p>
        </w:tc>
      </w:tr>
    </w:tbl>
    <w:p>
      <w:pPr>
        <w:spacing w:after="0" w:line="22" w:lineRule="exact"/>
        <w:rPr>
          <w:sz w:val="20"/>
          <w:szCs w:val="20"/>
          <w:color w:val="auto"/>
        </w:rPr>
      </w:pPr>
    </w:p>
    <w:p>
      <w:pPr>
        <w:ind w:left="160" w:hanging="115"/>
        <w:spacing w:after="0"/>
        <w:tabs>
          <w:tab w:leader="none" w:pos="1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​(14,427,828​)</w:t>
      </w:r>
    </w:p>
    <w:p>
      <w:pPr>
        <w:spacing w:after="0" w:line="40" w:lineRule="exact"/>
        <w:rPr>
          <w:rFonts w:ascii="Times New Roman" w:cs="Times New Roman" w:eastAsia="Times New Roman" w:hAnsi="Times New Roman"/>
          <w:sz w:val="18"/>
          <w:szCs w:val="18"/>
          <w:color w:val="auto"/>
        </w:rPr>
      </w:pPr>
    </w:p>
    <w:p>
      <w:pPr>
        <w:ind w:left="160" w:hanging="115"/>
        <w:spacing w:after="0"/>
        <w:tabs>
          <w:tab w:leader="none" w:pos="1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58,603,242</w:t>
      </w:r>
      <w:r>
        <w:rPr>
          <w:rFonts w:ascii="Times New Roman" w:cs="Times New Roman" w:eastAsia="Times New Roman" w:hAnsi="Times New Roman"/>
          <w:sz w:val="18"/>
          <w:szCs w:val="18"/>
          <w:b w:val="1"/>
          <w:bCs w:val="1"/>
          <w:color w:val="auto"/>
        </w:rPr>
        <w:t>​</w:t>
      </w:r>
    </w:p>
    <w:p>
      <w:pPr>
        <w:spacing w:after="0" w:line="49" w:lineRule="exact"/>
        <w:rPr>
          <w:rFonts w:ascii="Times New Roman" w:cs="Times New Roman" w:eastAsia="Times New Roman" w:hAnsi="Times New Roman"/>
          <w:sz w:val="18"/>
          <w:szCs w:val="18"/>
          <w:b w:val="1"/>
          <w:bCs w:val="1"/>
          <w:color w:val="auto"/>
        </w:rPr>
      </w:pPr>
    </w:p>
    <w:p>
      <w:pPr>
        <w:ind w:left="160" w:hanging="115"/>
        <w:spacing w:after="0" w:line="184" w:lineRule="auto"/>
        <w:tabs>
          <w:tab w:leader="none" w:pos="160" w:val="left"/>
        </w:tabs>
        <w:numPr>
          <w:ilvl w:val="0"/>
          <w:numId w:val="161"/>
        </w:numPr>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u w:val="single" w:color="auto"/>
          <w:color w:val="auto"/>
        </w:rPr>
        <w:t>$109,396,758</w:t>
      </w:r>
      <w:r>
        <w:rPr>
          <w:rFonts w:ascii="Times New Roman" w:cs="Times New Roman" w:eastAsia="Times New Roman" w:hAnsi="Times New Roman"/>
          <w:sz w:val="31"/>
          <w:szCs w:val="31"/>
          <w:b w:val="1"/>
          <w:bCs w:val="1"/>
          <w:color w:val="auto"/>
          <w:vertAlign w:val="subscript"/>
        </w:rPr>
        <w:t>​</w:t>
      </w:r>
    </w:p>
    <w:p>
      <w:pPr>
        <w:spacing w:after="0" w:line="200" w:lineRule="exact"/>
        <w:rPr>
          <w:sz w:val="20"/>
          <w:szCs w:val="20"/>
          <w:color w:val="auto"/>
        </w:rPr>
      </w:pPr>
    </w:p>
    <w:p>
      <w:pPr>
        <w:sectPr>
          <w:pgSz w:w="11900" w:h="16838" w:orient="portrait"/>
          <w:cols w:equalWidth="0" w:num="2">
            <w:col w:w="7160" w:space="720"/>
            <w:col w:w="1999"/>
          </w:cols>
          <w:pgMar w:left="580" w:top="97" w:right="1440" w:bottom="1440" w:gutter="0" w:footer="0" w:header="0"/>
          <w:type w:val="continuous"/>
        </w:sectPr>
      </w:pPr>
    </w:p>
    <w:p>
      <w:pPr>
        <w:spacing w:after="0" w:line="49" w:lineRule="exact"/>
        <w:rPr>
          <w:sz w:val="20"/>
          <w:szCs w:val="20"/>
          <w:color w:val="auto"/>
        </w:rPr>
      </w:pPr>
    </w:p>
    <w:p>
      <w:pPr>
        <w:ind w:left="1620" w:hanging="360"/>
        <w:spacing w:after="0"/>
        <w:tabs>
          <w:tab w:leader="none" w:pos="16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Among which, cash acquired from acquisition of Ninjas in Pyjamas was $1,707,373.</w:t>
      </w:r>
    </w:p>
    <w:p>
      <w:pPr>
        <w:sectPr>
          <w:pgSz w:w="11900" w:h="16838" w:orient="portrait"/>
          <w:cols w:equalWidth="0" w:num="1">
            <w:col w:w="9879"/>
          </w:cols>
          <w:pgMar w:left="580" w:top="97" w:right="1440" w:bottom="1440" w:gutter="0" w:footer="0" w:header="0"/>
          <w:type w:val="continuous"/>
        </w:sect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 (continued)</w:t>
      </w:r>
    </w:p>
    <w:p>
      <w:pPr>
        <w:spacing w:after="0" w:line="211" w:lineRule="exact"/>
        <w:rPr>
          <w:sz w:val="20"/>
          <w:szCs w:val="20"/>
          <w:color w:val="auto"/>
        </w:rPr>
      </w:pPr>
    </w:p>
    <w:p>
      <w:pPr>
        <w:ind w:left="1620" w:hanging="360"/>
        <w:spacing w:after="0"/>
        <w:tabs>
          <w:tab w:leader="none" w:pos="16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liabilities were calculated based on appreciation fair value of all intangible assets multiplied by income tax rate.</w:t>
      </w:r>
    </w:p>
    <w:p>
      <w:pPr>
        <w:spacing w:after="0" w:line="15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goodwill acquired resulted primarily from Ninjas in Pyjamas’ expected synergies and assembled workforce from the integration of businesses acquired into the Company’s existing business.</w:t>
      </w:r>
    </w:p>
    <w:p>
      <w:pPr>
        <w:spacing w:after="0" w:line="108"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Net revenue and net loss arising from acquisition of Ninjas in Pyjamas made in period from acquisition date to December 31, 2023 that are included in the Group’s consolidated statements of operations and comprehensive loss for the year ended December 31, 2023.</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pro forma information (unaudited)</w:t>
      </w:r>
    </w:p>
    <w:p>
      <w:pPr>
        <w:spacing w:after="0" w:line="146"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pro forma information for the periods set forth below gives effect to the business acquisition as if the business combination had occurred as of January 1, 2023. This pro forma information is presented for informational purposes only and is not necessarily indicative of the results of operations that actually would have been achieved had the transactions been consummated as of that time.</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4460" w:type="dxa"/>
            <w:vAlign w:val="bottom"/>
            <w:gridSpan w:val="3"/>
          </w:tcPr>
          <w:p>
            <w:pPr>
              <w:ind w:left="3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60" w:type="dxa"/>
            <w:vAlign w:val="bottom"/>
            <w:gridSpan w:val="3"/>
          </w:tcPr>
          <w:p>
            <w:pPr>
              <w:ind w:left="30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2023 </w:t>
            </w:r>
            <w:r>
              <w:rPr>
                <w:rFonts w:ascii="Times New Roman" w:cs="Times New Roman" w:eastAsia="Times New Roman" w:hAnsi="Times New Roman"/>
                <w:sz w:val="24"/>
                <w:szCs w:val="24"/>
                <w:b w:val="1"/>
                <w:bCs w:val="1"/>
                <w:color w:val="auto"/>
                <w:vertAlign w:val="subscript"/>
              </w:rPr>
              <w:t>​</w:t>
            </w:r>
          </w:p>
        </w:tc>
      </w:tr>
      <w:tr>
        <w:trPr>
          <w:trHeight w:val="20"/>
        </w:trPr>
        <w:tc>
          <w:tcPr>
            <w:tcW w:w="3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loss per share – basic and diluted</w:t>
      </w:r>
    </w:p>
    <w:p>
      <w:pPr>
        <w:spacing w:after="0" w:line="248" w:lineRule="exact"/>
        <w:rPr>
          <w:sz w:val="20"/>
          <w:szCs w:val="20"/>
          <w:color w:val="auto"/>
        </w:rPr>
      </w:pPr>
    </w:p>
    <w:p>
      <w:pPr>
        <w:ind w:left="1620" w:hanging="360"/>
        <w:spacing w:after="0"/>
        <w:tabs>
          <w:tab w:leader="none" w:pos="16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net consists of the following:</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34461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color w:val="auto"/>
        </w:rPr>
        <w:t xml:space="preserve">​ ​ ​$ 83,733,206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color w:val="auto"/>
        </w:rPr>
        <w:t xml:space="preserve">​ ​ ​$(13,264,218)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tbl>
      <w:tblPr>
        <w:tblLayout w:type="fixed"/>
        <w:tblInd w:w="940" w:type="dxa"/>
        <w:tblCellMar>
          <w:top w:w="0" w:type="dxa"/>
          <w:left w:w="0" w:type="dxa"/>
          <w:bottom w:w="0" w:type="dxa"/>
          <w:right w:w="0" w:type="dxa"/>
        </w:tblCellMar>
      </w:tblP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 xml:space="preserve">(1.54) </w:t>
            </w:r>
            <w:r>
              <w:rPr>
                <w:rFonts w:ascii="Times New Roman" w:cs="Times New Roman" w:eastAsia="Times New Roman" w:hAnsi="Times New Roman"/>
                <w:sz w:val="18"/>
                <w:szCs w:val="18"/>
                <w:b w:val="1"/>
                <w:bCs w:val="1"/>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-7620</wp:posOffset>
            </wp:positionV>
            <wp:extent cx="137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120" w:space="720"/>
            <w:col w:w="30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60" w:type="dxa"/>
            <w:vAlign w:val="bottom"/>
            <w:gridSpan w:val="5"/>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​​$14,448,371​​ ​​$19,202,976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60" w:type="dxa"/>
            <w:vAlign w:val="bottom"/>
            <w:gridSpan w:val="2"/>
          </w:tcPr>
          <w:p>
            <w:pPr>
              <w:ind w:left="16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6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(207,499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860" w:type="dxa"/>
            <w:vAlign w:val="bottom"/>
            <w:gridSpan w:val="5"/>
            <w:shd w:val="clear" w:color="auto" w:fill="CCEEFF"/>
          </w:tcPr>
          <w:p>
            <w:pPr>
              <w:ind w:left="16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14,448,371</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18,995,477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-299720</wp:posOffset>
            </wp:positionV>
            <wp:extent cx="41744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133" w:lineRule="exact"/>
        <w:rPr>
          <w:sz w:val="20"/>
          <w:szCs w:val="20"/>
          <w:color w:val="auto"/>
        </w:rPr>
      </w:pPr>
    </w:p>
    <w:p>
      <w:pPr>
        <w:ind w:left="1620" w:right="1199" w:hanging="360"/>
        <w:spacing w:after="0" w:line="322" w:lineRule="auto"/>
        <w:tabs>
          <w:tab w:leader="none" w:pos="16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$3,914,532 in accounts receivable were pledged as collateral for China Merchants Bank’s short-term borrowing as of December 31, 2023 (Note 10).</w:t>
      </w:r>
    </w:p>
    <w:p>
      <w:pPr>
        <w:spacing w:after="0" w:line="7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The Group recorded bad debt expense of nil and $49,429 for the years ended December 31, 2022 and 2023, respectively. The provision for credit losses as of December 31, 2023 were consisted of bad debt accrued by Ninjas in Pyjamas before the Group acquired Ninjas in Pyjamas.</w:t>
      </w:r>
    </w:p>
    <w:p>
      <w:pPr>
        <w:spacing w:after="0" w:line="115" w:lineRule="exact"/>
        <w:rPr>
          <w:sz w:val="20"/>
          <w:szCs w:val="20"/>
          <w:color w:val="auto"/>
        </w:rPr>
      </w:pPr>
    </w:p>
    <w:p>
      <w:pPr>
        <w:ind w:left="1260" w:right="619" w:firstLine="360"/>
        <w:spacing w:after="0" w:line="313" w:lineRule="auto"/>
        <w:rPr>
          <w:sz w:val="20"/>
          <w:szCs w:val="20"/>
          <w:color w:val="auto"/>
        </w:rPr>
      </w:pPr>
      <w:r>
        <w:rPr>
          <w:rFonts w:ascii="Times New Roman" w:cs="Times New Roman" w:eastAsia="Times New Roman" w:hAnsi="Times New Roman"/>
          <w:sz w:val="18"/>
          <w:szCs w:val="18"/>
          <w:color w:val="auto"/>
        </w:rPr>
        <w:t>Reversal of bad debt expense were nil and $11,041 for the years ended December 31, 2022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 NET</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Prepaid expenses and other current assets, net consist of the following:</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Government subsidies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631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VAT prepayment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Prepaid expenses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631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Inventories</w:t>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Employee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 investment fund receivable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prepayments and other current assets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 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prepayments and other 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12344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400" w:val="left"/>
          <w:tab w:leader="none" w:pos="1460" w:val="left"/>
        </w:tabs>
        <w:rPr>
          <w:sz w:val="20"/>
          <w:szCs w:val="20"/>
          <w:color w:val="auto"/>
        </w:rPr>
      </w:pPr>
      <w:r>
        <w:rPr>
          <w:rFonts w:ascii="Times New Roman" w:cs="Times New Roman" w:eastAsia="Times New Roman" w:hAnsi="Times New Roman"/>
          <w:sz w:val="18"/>
          <w:szCs w:val="18"/>
          <w:color w:val="auto"/>
        </w:rPr>
        <w:t>​ ​​$</w:t>
        <w:tab/>
        <w:t>406,961​​ ​​$</w:t>
        <w:tab/>
        <w:t>531,165​</w:t>
      </w:r>
    </w:p>
    <w:p>
      <w:pPr>
        <w:spacing w:after="0" w:line="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 ​ 466,906​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215,431​​ ​​ ​ 412,649​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746,071​​ ​​ ​ 361,714​</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 ​​ ​</w:t>
        <w:tab/>
        <w:t>52,876​​ ​​ ​ 165,510​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159,274​​ ​​ ​ 158,132​</w:t>
      </w:r>
    </w:p>
    <w:p>
      <w:pPr>
        <w:spacing w:after="0" w:line="5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 ​​ ​</w:t>
        <w:tab/>
        <w:t>78,765​​ ​​ ​ 109,384​</w:t>
      </w:r>
    </w:p>
    <w:p>
      <w:pPr>
        <w:spacing w:after="0" w:line="5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 ​​ ​2,999,845​​ ​​ ​</w:t>
      </w:r>
      <w:r>
        <w:rPr>
          <w:sz w:val="20"/>
          <w:szCs w:val="20"/>
          <w:color w:val="auto"/>
        </w:rPr>
        <w:tab/>
      </w:r>
      <w:r>
        <w:rPr>
          <w:rFonts w:ascii="Times New Roman" w:cs="Times New Roman" w:eastAsia="Times New Roman" w:hAnsi="Times New Roman"/>
          <w:sz w:val="18"/>
          <w:szCs w:val="18"/>
          <w:color w:val="auto"/>
        </w:rPr>
        <w:t>—​</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​4,659,223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​2,205,460</w:t>
      </w:r>
      <w:r>
        <w:rPr>
          <w:rFonts w:ascii="Times New Roman" w:cs="Times New Roman" w:eastAsia="Times New Roman" w:hAnsi="Times New Roman"/>
          <w:sz w:val="35"/>
          <w:szCs w:val="35"/>
          <w:color w:val="auto"/>
          <w:vertAlign w:val="subscript"/>
        </w:rPr>
        <w:t>​</w:t>
      </w:r>
    </w:p>
    <w:p>
      <w:pPr>
        <w:spacing w:after="0" w:line="185" w:lineRule="auto"/>
        <w:tabs>
          <w:tab w:leader="none" w:pos="500" w:val="left"/>
        </w:tabs>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41,868</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 xml:space="preserve"> ​ 111,720</w:t>
      </w:r>
      <w:r>
        <w:rPr>
          <w:rFonts w:ascii="Times New Roman" w:cs="Times New Roman" w:eastAsia="Times New Roman" w:hAnsi="Times New Roman"/>
          <w:sz w:val="32"/>
          <w:szCs w:val="32"/>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$4,617,355</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$2,093,740</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6320" w:space="720"/>
            <w:col w:w="2839"/>
          </w:cols>
          <w:pgMar w:left="580" w:top="97" w:right="1440" w:bottom="1440" w:gutter="0" w:footer="0" w:header="0"/>
          <w:type w:val="continuous"/>
        </w:sectPr>
      </w:pPr>
    </w:p>
    <w:p>
      <w:pPr>
        <w:spacing w:after="0" w:line="89" w:lineRule="exact"/>
        <w:rPr>
          <w:sz w:val="20"/>
          <w:szCs w:val="20"/>
          <w:color w:val="auto"/>
        </w:rPr>
      </w:pPr>
    </w:p>
    <w:p>
      <w:pPr>
        <w:ind w:left="1620" w:right="439" w:hanging="360"/>
        <w:spacing w:after="0" w:line="279" w:lineRule="auto"/>
        <w:tabs>
          <w:tab w:leader="none" w:pos="16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mainly represented the government subsidies receivable that have been approved and publicly announced by certain local governments. The Group’s government subsidies were the subsidies that the local government has not specified a purpose for and were not tied to future trends or performance of the Group. Receipt of such subsidy income was not contingent upon any further actions or performance of the Group and the amounts did not have to be refunded under any circumstances. As of the date of issuance of the consolidated financial statements, the Group has collected $281,694 of receivable related to government subsidies.</w:t>
      </w:r>
    </w:p>
    <w:p>
      <w:pPr>
        <w:spacing w:after="0" w:line="238" w:lineRule="exact"/>
        <w:rPr>
          <w:rFonts w:ascii="Times New Roman" w:cs="Times New Roman" w:eastAsia="Times New Roman" w:hAnsi="Times New Roman"/>
          <w:sz w:val="14"/>
          <w:szCs w:val="14"/>
          <w:color w:val="auto"/>
        </w:rPr>
      </w:pPr>
    </w:p>
    <w:p>
      <w:pPr>
        <w:ind w:left="1620" w:right="479" w:hanging="360"/>
        <w:spacing w:after="0" w:line="292" w:lineRule="auto"/>
        <w:tabs>
          <w:tab w:leader="none" w:pos="16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mainly represented costs associated with the acquisition of certain Esports talent whose estimated useful lives were less than one year as of December 31, 2022 and 2023. The amortization expense for these members of talent was $76,472 and $726,715 for the years ended December 31, 2022 and 2023, respectively.</w:t>
      </w:r>
    </w:p>
    <w:p>
      <w:pPr>
        <w:spacing w:after="0" w:line="159"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Group recorded bad debt expense of nil and $71,048 for the years ended December 31, 2022 and 2023, respectively.</w:t>
      </w:r>
    </w:p>
    <w:p>
      <w:pPr>
        <w:spacing w:after="0" w:line="172" w:lineRule="exact"/>
        <w:rPr>
          <w:sz w:val="20"/>
          <w:szCs w:val="20"/>
          <w:color w:val="auto"/>
        </w:rPr>
      </w:pPr>
    </w:p>
    <w:p>
      <w:pPr>
        <w:ind w:left="1620" w:hanging="360"/>
        <w:spacing w:after="0"/>
        <w:tabs>
          <w:tab w:leader="none" w:pos="162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RELATED TO DISPOSAL OF LEAGUE TOURNAMENTS RIGHTS</w:t>
      </w:r>
    </w:p>
    <w:p>
      <w:pPr>
        <w:spacing w:after="0" w:line="216" w:lineRule="exact"/>
        <w:rPr>
          <w:sz w:val="20"/>
          <w:szCs w:val="20"/>
          <w:color w:val="auto"/>
        </w:rPr>
      </w:pPr>
    </w:p>
    <w:p>
      <w:pPr>
        <w:ind w:left="1260" w:right="419" w:firstLine="360"/>
        <w:spacing w:after="0" w:line="269" w:lineRule="auto"/>
        <w:rPr>
          <w:sz w:val="20"/>
          <w:szCs w:val="20"/>
          <w:color w:val="auto"/>
        </w:rPr>
      </w:pPr>
      <w:r>
        <w:rPr>
          <w:rFonts w:ascii="Times New Roman" w:cs="Times New Roman" w:eastAsia="Times New Roman" w:hAnsi="Times New Roman"/>
          <w:sz w:val="18"/>
          <w:szCs w:val="18"/>
          <w:color w:val="auto"/>
        </w:rPr>
        <w:t>On December 28, 2020, Xingjing Entertainment entered into a transaction with a third party to sell its League of Legends Pro League tournaments right and several players for RMB133 million including tax (approximately $20.9 million, among which approximately $14.2 million related to league tournaments right was recorded as receivable related to disposal of league tournaments right and $6.7 million related to several players was recorded as account receivable). As of December 31, 2023, the Group has collected all of receivable related to disposal of league tournaments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0"/>
                <w:szCs w:val="20"/>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​​$3,142,179​​ ​​$3,623,430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6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584,688​​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624,212​</w:t>
            </w: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16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312,016​​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canteen equipment</w:t>
            </w:r>
          </w:p>
        </w:tc>
        <w:tc>
          <w:tcPr>
            <w:tcW w:w="16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142,436</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6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138,370</w:t>
            </w:r>
            <w:r>
              <w:rPr>
                <w:rFonts w:ascii="Times New Roman" w:cs="Times New Roman" w:eastAsia="Times New Roman" w:hAnsi="Times New Roman"/>
                <w:sz w:val="31"/>
                <w:szCs w:val="31"/>
                <w:color w:val="auto"/>
                <w:vertAlign w:val="subscript"/>
              </w:rPr>
              <w:t>​</w:t>
            </w:r>
          </w:p>
        </w:tc>
      </w:tr>
      <w:tr>
        <w:trPr>
          <w:trHeight w:val="20"/>
        </w:trPr>
        <w:tc>
          <w:tcPr>
            <w:tcW w:w="39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6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​4,181,319​​ ​​ ​4,812,266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8"/>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​1,286,103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​1,894,741</w:t>
            </w:r>
            <w:r>
              <w:rPr>
                <w:rFonts w:ascii="Times New Roman" w:cs="Times New Roman" w:eastAsia="Times New Roman" w:hAnsi="Times New Roman"/>
                <w:sz w:val="31"/>
                <w:szCs w:val="31"/>
                <w:color w:val="auto"/>
                <w:vertAlign w:val="subscript"/>
              </w:rPr>
              <w:t>​</w:t>
            </w:r>
          </w:p>
        </w:tc>
      </w:tr>
      <w:tr>
        <w:trPr>
          <w:trHeight w:val="20"/>
        </w:trPr>
        <w:tc>
          <w:tcPr>
            <w:tcW w:w="39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7"/>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2,895,216</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2,917,525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2259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-1225550</wp:posOffset>
            </wp:positionV>
            <wp:extent cx="42176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9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expenses were $543,377 and $592,345 for the years ended December 31, 2022 and 2023, respectively.</w:t>
      </w:r>
    </w:p>
    <w:p>
      <w:pPr>
        <w:sectPr>
          <w:pgSz w:w="11900" w:h="16838" w:orient="portrait"/>
          <w:cols w:equalWidth="0" w:num="1">
            <w:col w:w="9879"/>
          </w:cols>
          <w:pgMar w:left="580" w:top="97" w:right="1440" w:bottom="1440" w:gutter="0" w:footer="0" w:header="0"/>
        </w:sectPr>
      </w:pPr>
    </w:p>
    <w:p>
      <w:pPr>
        <w:spacing w:after="0" w:line="171" w:lineRule="exact"/>
        <w:rPr>
          <w:sz w:val="20"/>
          <w:szCs w:val="20"/>
          <w:color w:val="auto"/>
        </w:rPr>
      </w:pPr>
    </w:p>
    <w:p>
      <w:pPr>
        <w:ind w:left="1620" w:hanging="360"/>
        <w:spacing w:after="0"/>
        <w:tabs>
          <w:tab w:leader="none" w:pos="162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consists of the following:</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Indefinite useful lives: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League tournaments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Brand name of Ninjas in Pyjamas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Brand name of Wuhan ESVF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Definite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631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Agency Contract Rights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Talent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Brand name of Hongli Culture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Definite useful lives, net</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7"/>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​​$34,897,485​​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81,569,968​</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24,933,835​</w:t>
            </w:r>
          </w:p>
        </w:tc>
      </w:tr>
      <w:tr>
        <w:trPr>
          <w:trHeight w:val="248"/>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​15,049,585</w:t>
            </w:r>
            <w:r>
              <w:rPr>
                <w:rFonts w:ascii="Times New Roman" w:cs="Times New Roman" w:eastAsia="Times New Roman" w:hAnsi="Times New Roman"/>
                <w:sz w:val="28"/>
                <w:szCs w:val="28"/>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14,619,924</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​49,947,070​​</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​121,123,727​</w:t>
            </w:r>
          </w:p>
        </w:tc>
      </w:tr>
      <w:tr>
        <w:trPr>
          <w:trHeight w:val="25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​16,437,284​​</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17,648,868​</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4,270,239​​</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3,990,059​</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840,921​​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816,913​</w:t>
            </w:r>
          </w:p>
        </w:tc>
      </w:tr>
      <w:tr>
        <w:trPr>
          <w:trHeight w:val="248"/>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6,897</w:t>
            </w:r>
            <w:r>
              <w:rPr>
                <w:rFonts w:ascii="Times New Roman" w:cs="Times New Roman" w:eastAsia="Times New Roman" w:hAnsi="Times New Roman"/>
                <w:sz w:val="28"/>
                <w:szCs w:val="28"/>
                <w:color w:val="auto"/>
                <w:vertAlign w:val="subscript"/>
              </w:rPr>
              <w:t>​​</w:t>
            </w:r>
          </w:p>
        </w:tc>
        <w:tc>
          <w:tcPr>
            <w:tcW w:w="26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290,903</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​21,555,341​​</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 22,746,743​</w:t>
            </w:r>
          </w:p>
        </w:tc>
      </w:tr>
      <w:tr>
        <w:trPr>
          <w:trHeight w:val="248"/>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6,119,465</w:t>
            </w:r>
            <w:r>
              <w:rPr>
                <w:rFonts w:ascii="Times New Roman" w:cs="Times New Roman" w:eastAsia="Times New Roman" w:hAnsi="Times New Roman"/>
                <w:sz w:val="28"/>
                <w:szCs w:val="28"/>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9,901,356</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​15,435,876</w:t>
            </w:r>
            <w:r>
              <w:rPr>
                <w:rFonts w:ascii="Times New Roman" w:cs="Times New Roman" w:eastAsia="Times New Roman" w:hAnsi="Times New Roman"/>
                <w:sz w:val="30"/>
                <w:szCs w:val="30"/>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12,845,387</w:t>
            </w:r>
            <w:r>
              <w:rPr>
                <w:rFonts w:ascii="Times New Roman" w:cs="Times New Roman" w:eastAsia="Times New Roman" w:hAnsi="Times New Roman"/>
                <w:sz w:val="30"/>
                <w:szCs w:val="30"/>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65,382,946</w:t>
            </w:r>
            <w:r>
              <w:rPr>
                <w:rFonts w:ascii="Times New Roman" w:cs="Times New Roman" w:eastAsia="Times New Roman" w:hAnsi="Times New Roman"/>
                <w:sz w:val="28"/>
                <w:szCs w:val="28"/>
                <w:b w:val="1"/>
                <w:bCs w:val="1"/>
                <w:color w:val="auto"/>
                <w:vertAlign w:val="subscript"/>
              </w:rPr>
              <w:t>​​</w:t>
            </w:r>
          </w:p>
        </w:tc>
        <w:tc>
          <w:tcPr>
            <w:tcW w:w="114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133,969,114</w:t>
            </w:r>
            <w:r>
              <w:rPr>
                <w:rFonts w:ascii="Times New Roman" w:cs="Times New Roman" w:eastAsia="Times New Roman" w:hAnsi="Times New Roman"/>
                <w:sz w:val="28"/>
                <w:szCs w:val="28"/>
                <w:b w:val="1"/>
                <w:bCs w:val="1"/>
                <w:color w:val="auto"/>
                <w:vertAlign w:val="subscript"/>
              </w:rPr>
              <w:t>​</w:t>
            </w:r>
          </w:p>
        </w:tc>
      </w:tr>
      <w:tr>
        <w:trPr>
          <w:trHeight w:val="21"/>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3139"/>
          </w:cols>
          <w:pgMar w:left="580" w:top="97" w:right="1440" w:bottom="1440" w:gutter="0" w:footer="0" w:header="0"/>
          <w:type w:val="continuous"/>
        </w:sectPr>
      </w:pPr>
    </w:p>
    <w:p>
      <w:pPr>
        <w:spacing w:after="0" w:line="61" w:lineRule="exact"/>
        <w:rPr>
          <w:sz w:val="20"/>
          <w:szCs w:val="20"/>
          <w:color w:val="auto"/>
        </w:rPr>
      </w:pPr>
    </w:p>
    <w:p>
      <w:pPr>
        <w:ind w:left="1620" w:right="619" w:hanging="360"/>
        <w:spacing w:after="0" w:line="302" w:lineRule="auto"/>
        <w:tabs>
          <w:tab w:leader="none" w:pos="16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League tournaments rights derived from business acquisition were $23,908,252 and $70,894,475 as of December 31, 2022 and 2023, respectively.</w:t>
      </w:r>
    </w:p>
    <w:p>
      <w:pPr>
        <w:spacing w:after="0" w:line="8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Amortization expenses were $4,723,102 and $4,764,034 for the years ended December 31, 2022 and 2023, respectively.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schedule, by fiscal years, of amortization amount of intangible asset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2023:</w:t>
      </w:r>
    </w:p>
    <w:p>
      <w:pPr>
        <w:sectPr>
          <w:pgSz w:w="11900" w:h="16838" w:orient="portrait"/>
          <w:cols w:equalWidth="0" w:num="1">
            <w:col w:w="9879"/>
          </w:cols>
          <w:pgMar w:left="580" w:top="97" w:right="1440" w:bottom="1440" w:gutter="0" w:footer="0" w:header="0"/>
          <w:type w:val="continuous"/>
        </w:sect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 — (continued)</w:t>
      </w:r>
    </w:p>
    <w:p>
      <w:pPr>
        <w:spacing w:after="0" w:line="2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​​$ 4,572,402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30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4,308,305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3040" w:type="dxa"/>
            <w:vAlign w:val="bottom"/>
            <w:gridSpan w:val="2"/>
            <w:vMerge w:val="restart"/>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2,716,856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30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476,722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3040" w:type="dxa"/>
            <w:vAlign w:val="bottom"/>
            <w:gridSpan w:val="2"/>
            <w:vMerge w:val="restart"/>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328,611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30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442,491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6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12,845,387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304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3"/>
                <w:szCs w:val="3"/>
                <w:b w:val="1"/>
                <w:bCs w:val="1"/>
                <w:color w:val="auto"/>
              </w:rPr>
              <w:t>​ ​​</w:t>
            </w:r>
          </w:p>
        </w:tc>
        <w:tc>
          <w:tcPr>
            <w:tcW w:w="1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744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18"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The Group entered into contracts with several third-parties to purchase league tournaments rights of KPL, LPL and CFPL, the Group is allowed to pay the purchase price on installment for a period of time exceeding one year. When league tournaments rights are purchased on installment terms that exceeds one year, the contract contains a significant financing component, and therefore the payable is recorded at the present value of the payments. The difference between the present value of the payable and the nominal or principal value of the contract amount is recognized as interest expense over the contractual repayment period using the effective interest rate method. The interest rate used to determine the present value of total amount receivable is the rate subject to management decision on the date of the transaction and it reflects the rate that the Group can obtain financing of a similar nature from other sources at the date of the transaction.</w:t>
      </w:r>
    </w:p>
    <w:p>
      <w:pPr>
        <w:spacing w:after="0" w:line="35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Pursuant to contract term, the amount due within one year as of December 31, 2022 and 2023 were</w:t>
      </w:r>
    </w:p>
    <w:p>
      <w:pPr>
        <w:spacing w:after="0" w:line="36" w:lineRule="exact"/>
        <w:rPr>
          <w:sz w:val="20"/>
          <w:szCs w:val="20"/>
          <w:color w:val="auto"/>
        </w:rPr>
      </w:pPr>
    </w:p>
    <w:p>
      <w:pPr>
        <w:ind w:left="1260" w:right="439"/>
        <w:spacing w:after="0" w:line="297" w:lineRule="auto"/>
        <w:rPr>
          <w:sz w:val="20"/>
          <w:szCs w:val="20"/>
          <w:color w:val="auto"/>
        </w:rPr>
      </w:pPr>
      <w:r>
        <w:rPr>
          <w:rFonts w:ascii="Times New Roman" w:cs="Times New Roman" w:eastAsia="Times New Roman" w:hAnsi="Times New Roman"/>
          <w:sz w:val="18"/>
          <w:szCs w:val="18"/>
          <w:color w:val="auto"/>
        </w:rPr>
        <w:t>$2,617,233 and $1,921,518, respectively. The remaining portion due after one year as of December 31, 2022 and 2023 were $2,915,875 and $2,342,940, respectively.</w:t>
      </w:r>
    </w:p>
    <w:p>
      <w:pPr>
        <w:spacing w:after="0" w:line="172" w:lineRule="exact"/>
        <w:rPr>
          <w:sz w:val="20"/>
          <w:szCs w:val="20"/>
          <w:color w:val="auto"/>
        </w:rPr>
      </w:pPr>
    </w:p>
    <w:p>
      <w:pPr>
        <w:ind w:left="1620" w:hanging="360"/>
        <w:spacing w:after="0"/>
        <w:tabs>
          <w:tab w:leader="none" w:pos="16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73"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11"/>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PRC and other</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5"/>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w:t>
            </w:r>
          </w:p>
        </w:tc>
        <w:tc>
          <w:tcPr>
            <w:tcW w:w="114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Ninjas in Pyjamas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Consolidated</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32,282,349</w:t>
            </w:r>
            <w:r>
              <w:rPr>
                <w:rFonts w:ascii="Times New Roman" w:cs="Times New Roman" w:eastAsia="Times New Roman" w:hAnsi="Times New Roman"/>
                <w:sz w:val="18"/>
                <w:szCs w:val="18"/>
                <w:b w:val="1"/>
                <w:bCs w:val="1"/>
                <w:color w:val="auto"/>
              </w:rPr>
              <w:t>​​</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32,282,349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​(2,455,391)</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 (2,455,391)</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​29,826,958</w:t>
            </w:r>
            <w:r>
              <w:rPr>
                <w:rFonts w:ascii="Times New Roman" w:cs="Times New Roman" w:eastAsia="Times New Roman" w:hAnsi="Times New Roman"/>
                <w:sz w:val="30"/>
                <w:szCs w:val="30"/>
                <w:color w:val="auto"/>
                <w:vertAlign w:val="subscript"/>
              </w:rPr>
              <w:t>​​</w:t>
            </w:r>
          </w:p>
        </w:tc>
        <w:tc>
          <w:tcPr>
            <w:tcW w:w="3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tcPr>
          <w:p>
            <w:pPr>
              <w:jc w:val="right"/>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29,826,958</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​109,396,758</w:t>
            </w:r>
          </w:p>
        </w:tc>
        <w:tc>
          <w:tcPr>
            <w:tcW w:w="13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 ​​ ​109,396,758​</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(851,550)</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3,030,161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2,178,611</w:t>
            </w:r>
          </w:p>
        </w:tc>
        <w:tc>
          <w:tcPr>
            <w:tcW w:w="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28,975,408</w:t>
            </w:r>
            <w:r>
              <w:rPr>
                <w:rFonts w:ascii="Times New Roman" w:cs="Times New Roman" w:eastAsia="Times New Roman" w:hAnsi="Times New Roman"/>
                <w:sz w:val="28"/>
                <w:szCs w:val="28"/>
                <w:color w:val="auto"/>
                <w:vertAlign w:val="subscript"/>
              </w:rPr>
              <w:t>​​</w:t>
            </w:r>
          </w:p>
        </w:tc>
        <w:tc>
          <w:tcPr>
            <w:tcW w:w="11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112,426,919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141,402,327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-213360</wp:posOffset>
            </wp:positionV>
            <wp:extent cx="4749165" cy="1968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-556260</wp:posOffset>
            </wp:positionV>
            <wp:extent cx="4749165" cy="1714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-908050</wp:posOffset>
            </wp:positionV>
            <wp:extent cx="4749165" cy="1803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-1242060</wp:posOffset>
            </wp:positionV>
            <wp:extent cx="4749165"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4680" w:space="720"/>
            <w:col w:w="4479"/>
          </w:cols>
          <w:pgMar w:left="580" w:top="97" w:right="1440" w:bottom="1440" w:gutter="0" w:footer="0" w:header="0"/>
          <w:type w:val="continuous"/>
        </w:sectPr>
      </w:pPr>
    </w:p>
    <w:p>
      <w:pPr>
        <w:jc w:val="both"/>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Interest expenses related to borrowing were $283,619 and $373,415 for the years ended December 31, 2022 and 2023, respectively. As of December 31, 2022 and 2023, the weighted average interest rate of the short-term borrowings was 5.14% and 3.93% per annum, respectively. As of December 31, 2022 and 2023, the weighted average interest rate of the long-term borrowing was nil and 4.40% per annum, respectively.</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 (continued)</w:t>
      </w:r>
    </w:p>
    <w:p>
      <w:pPr>
        <w:spacing w:after="0" w:line="229"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 as of December 31, 2022 and 2023 represented the following:</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4"/>
                <w:szCs w:val="14"/>
                <w:color w:val="auto"/>
              </w:rPr>
            </w:pPr>
          </w:p>
        </w:tc>
        <w:tc>
          <w:tcPr>
            <w:tcW w:w="17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6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1"/>
              </w:rPr>
              <w:t>rate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China Merchants Bank</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3.90%​​​February 17, 2023</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​​February 17, 2024</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—​​​​$4,225,412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China CITIC Bank</w:t>
            </w:r>
            <w:r>
              <w:rPr>
                <w:rFonts w:ascii="Times New Roman" w:cs="Times New Roman" w:eastAsia="Times New Roman" w:hAnsi="Times New Roman"/>
                <w:sz w:val="23"/>
                <w:szCs w:val="23"/>
                <w:color w:val="auto"/>
                <w:vertAlign w:val="superscript"/>
              </w:rPr>
              <w:t>(ii)</w:t>
            </w:r>
          </w:p>
        </w:tc>
        <w:tc>
          <w:tcPr>
            <w:tcW w:w="160" w:type="dxa"/>
            <w:vAlign w:val="bottom"/>
            <w:shd w:val="clear" w:color="auto" w:fill="CCEEFF"/>
          </w:tcPr>
          <w:p>
            <w:pPr>
              <w:spacing w:after="0"/>
              <w:rPr>
                <w:sz w:val="21"/>
                <w:szCs w:val="21"/>
                <w:color w:val="auto"/>
              </w:rPr>
            </w:pPr>
          </w:p>
        </w:tc>
        <w:tc>
          <w:tcPr>
            <w:tcW w:w="212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3.65%​​​ October 9, 2023</w:t>
            </w:r>
          </w:p>
        </w:tc>
        <w:tc>
          <w:tcPr>
            <w:tcW w:w="150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October 8, 2024</w:t>
            </w:r>
          </w:p>
        </w:tc>
        <w:tc>
          <w:tcPr>
            <w:tcW w:w="2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2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Wuhan Rural Commercial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520" w:type="dxa"/>
            <w:vAlign w:val="bottom"/>
            <w:gridSpan w:val="2"/>
          </w:tcPr>
          <w:p>
            <w:pPr>
              <w:ind w:left="180"/>
              <w:spacing w:after="0" w:line="265" w:lineRule="exact"/>
              <w:rPr>
                <w:sz w:val="20"/>
                <w:szCs w:val="20"/>
                <w:color w:val="auto"/>
              </w:rPr>
            </w:pPr>
            <w:r>
              <w:rPr>
                <w:rFonts w:ascii="Times New Roman" w:cs="Times New Roman" w:eastAsia="Times New Roman" w:hAnsi="Times New Roman"/>
                <w:sz w:val="30"/>
                <w:szCs w:val="30"/>
                <w:color w:val="auto"/>
                <w:vertAlign w:val="subscript"/>
              </w:rPr>
              <w:t>Bank</w:t>
            </w:r>
            <w:r>
              <w:rPr>
                <w:rFonts w:ascii="Times New Roman" w:cs="Times New Roman" w:eastAsia="Times New Roman" w:hAnsi="Times New Roman"/>
                <w:sz w:val="11"/>
                <w:szCs w:val="11"/>
                <w:color w:val="auto"/>
              </w:rPr>
              <w:t>(iii)</w:t>
            </w:r>
          </w:p>
        </w:tc>
        <w:tc>
          <w:tcPr>
            <w:tcW w:w="160" w:type="dxa"/>
            <w:vAlign w:val="bottom"/>
          </w:tcPr>
          <w:p>
            <w:pPr>
              <w:spacing w:after="0"/>
              <w:rPr>
                <w:sz w:val="23"/>
                <w:szCs w:val="23"/>
                <w:color w:val="auto"/>
              </w:rPr>
            </w:pPr>
          </w:p>
        </w:tc>
        <w:tc>
          <w:tcPr>
            <w:tcW w:w="21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4.81%​​​ March 23, 2023</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March 22, 2024</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394,372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Bank of China</w:t>
            </w:r>
            <w:r>
              <w:rPr>
                <w:rFonts w:ascii="Times New Roman" w:cs="Times New Roman" w:eastAsia="Times New Roman" w:hAnsi="Times New Roman"/>
                <w:sz w:val="23"/>
                <w:szCs w:val="23"/>
                <w:color w:val="auto"/>
                <w:vertAlign w:val="superscript"/>
              </w:rPr>
              <w:t>(iv)</w:t>
            </w:r>
          </w:p>
        </w:tc>
        <w:tc>
          <w:tcPr>
            <w:tcW w:w="160" w:type="dxa"/>
            <w:vAlign w:val="bottom"/>
            <w:shd w:val="clear" w:color="auto" w:fill="CCEEFF"/>
          </w:tcPr>
          <w:p>
            <w:pPr>
              <w:spacing w:after="0"/>
              <w:rPr>
                <w:sz w:val="21"/>
                <w:szCs w:val="21"/>
                <w:color w:val="auto"/>
              </w:rPr>
            </w:pPr>
          </w:p>
        </w:tc>
        <w:tc>
          <w:tcPr>
            <w:tcW w:w="212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3.85%​​​ October 8, 2022</w:t>
            </w:r>
          </w:p>
        </w:tc>
        <w:tc>
          <w:tcPr>
            <w:tcW w:w="150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October 7, 2023</w:t>
            </w:r>
          </w:p>
        </w:tc>
        <w:tc>
          <w:tcPr>
            <w:tcW w:w="126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​1,014,905​​​​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China Everbright Bank</w:t>
            </w:r>
            <w:r>
              <w:rPr>
                <w:rFonts w:ascii="Times New Roman" w:cs="Times New Roman" w:eastAsia="Times New Roman" w:hAnsi="Times New Roman"/>
                <w:sz w:val="23"/>
                <w:szCs w:val="23"/>
                <w:color w:val="auto"/>
                <w:vertAlign w:val="superscript"/>
              </w:rPr>
              <w:t>(v)</w:t>
            </w:r>
          </w:p>
        </w:tc>
        <w:tc>
          <w:tcPr>
            <w:tcW w:w="160" w:type="dxa"/>
            <w:vAlign w:val="bottom"/>
          </w:tcPr>
          <w:p>
            <w:pPr>
              <w:spacing w:after="0"/>
              <w:rPr>
                <w:sz w:val="21"/>
                <w:szCs w:val="21"/>
                <w:color w:val="auto"/>
              </w:rPr>
            </w:pPr>
          </w:p>
        </w:tc>
        <w:tc>
          <w:tcPr>
            <w:tcW w:w="21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5.55%​​​ March 31, 2022</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March 30, 2023</w:t>
            </w:r>
          </w:p>
        </w:tc>
        <w:tc>
          <w:tcPr>
            <w:tcW w:w="12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 ​1,449,864​​​​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China Merchants Bank</w:t>
            </w:r>
            <w:r>
              <w:rPr>
                <w:rFonts w:ascii="Times New Roman" w:cs="Times New Roman" w:eastAsia="Times New Roman" w:hAnsi="Times New Roman"/>
                <w:sz w:val="23"/>
                <w:szCs w:val="23"/>
                <w:color w:val="auto"/>
                <w:vertAlign w:val="superscript"/>
              </w:rPr>
              <w:t>(vi)</w:t>
            </w:r>
          </w:p>
        </w:tc>
        <w:tc>
          <w:tcPr>
            <w:tcW w:w="160" w:type="dxa"/>
            <w:vAlign w:val="bottom"/>
            <w:shd w:val="clear" w:color="auto" w:fill="CCEEFF"/>
          </w:tcPr>
          <w:p>
            <w:pPr>
              <w:spacing w:after="0"/>
              <w:rPr>
                <w:sz w:val="21"/>
                <w:szCs w:val="21"/>
                <w:color w:val="auto"/>
              </w:rPr>
            </w:pPr>
          </w:p>
        </w:tc>
        <w:tc>
          <w:tcPr>
            <w:tcW w:w="8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w:t>
            </w:r>
          </w:p>
        </w:tc>
        <w:tc>
          <w:tcPr>
            <w:tcW w:w="1320" w:type="dxa"/>
            <w:vAlign w:val="bottom"/>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July 20, 2022</w:t>
            </w:r>
          </w:p>
        </w:tc>
        <w:tc>
          <w:tcPr>
            <w:tcW w:w="150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January 19, 2023</w:t>
            </w:r>
          </w:p>
        </w:tc>
        <w:tc>
          <w:tcPr>
            <w:tcW w:w="126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​1,449,864​​​​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China Merchants Bank</w:t>
            </w:r>
            <w:r>
              <w:rPr>
                <w:rFonts w:ascii="Times New Roman" w:cs="Times New Roman" w:eastAsia="Times New Roman" w:hAnsi="Times New Roman"/>
                <w:sz w:val="23"/>
                <w:szCs w:val="23"/>
                <w:color w:val="auto"/>
                <w:vertAlign w:val="superscript"/>
              </w:rPr>
              <w:t>(vii)</w:t>
            </w:r>
          </w:p>
        </w:tc>
        <w:tc>
          <w:tcPr>
            <w:tcW w:w="160" w:type="dxa"/>
            <w:vAlign w:val="bottom"/>
          </w:tcPr>
          <w:p>
            <w:pPr>
              <w:spacing w:after="0"/>
              <w:rPr>
                <w:sz w:val="21"/>
                <w:szCs w:val="21"/>
                <w:color w:val="auto"/>
              </w:rPr>
            </w:pPr>
          </w:p>
        </w:tc>
        <w:tc>
          <w:tcPr>
            <w:tcW w:w="21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 March 10, 2022</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January 10, 2023</w:t>
            </w:r>
          </w:p>
        </w:tc>
        <w:tc>
          <w:tcPr>
            <w:tcW w:w="12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 ​1,377,371​​​​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China CITIC Bank</w:t>
            </w:r>
            <w:r>
              <w:rPr>
                <w:rFonts w:ascii="Times New Roman" w:cs="Times New Roman" w:eastAsia="Times New Roman" w:hAnsi="Times New Roman"/>
                <w:sz w:val="23"/>
                <w:szCs w:val="23"/>
                <w:color w:val="auto"/>
                <w:vertAlign w:val="superscript"/>
              </w:rPr>
              <w:t>(viii)</w:t>
            </w:r>
          </w:p>
        </w:tc>
        <w:tc>
          <w:tcPr>
            <w:tcW w:w="160" w:type="dxa"/>
            <w:vAlign w:val="bottom"/>
            <w:shd w:val="clear" w:color="auto" w:fill="CCEEFF"/>
          </w:tcPr>
          <w:p>
            <w:pPr>
              <w:spacing w:after="0"/>
              <w:rPr>
                <w:sz w:val="21"/>
                <w:szCs w:val="21"/>
                <w:color w:val="auto"/>
              </w:rPr>
            </w:pPr>
          </w:p>
        </w:tc>
        <w:tc>
          <w:tcPr>
            <w:tcW w:w="8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4.95%​​​</w:t>
            </w:r>
          </w:p>
        </w:tc>
        <w:tc>
          <w:tcPr>
            <w:tcW w:w="1320" w:type="dxa"/>
            <w:vAlign w:val="bottom"/>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April 15, 2022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15, 2023</w:t>
            </w:r>
          </w:p>
        </w:tc>
        <w:tc>
          <w:tcPr>
            <w:tcW w:w="2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1"/>
                <w:szCs w:val="21"/>
                <w:color w:val="auto"/>
              </w:rPr>
            </w:pPr>
          </w:p>
        </w:tc>
        <w:tc>
          <w:tcPr>
            <w:tcW w:w="9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724,932​​​​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2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Wuhan Rural Commercial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520" w:type="dxa"/>
            <w:vAlign w:val="bottom"/>
            <w:gridSpan w:val="2"/>
          </w:tcPr>
          <w:p>
            <w:pPr>
              <w:ind w:left="180"/>
              <w:spacing w:after="0" w:line="278" w:lineRule="exact"/>
              <w:rPr>
                <w:sz w:val="20"/>
                <w:szCs w:val="20"/>
                <w:color w:val="auto"/>
              </w:rPr>
            </w:pPr>
            <w:r>
              <w:rPr>
                <w:rFonts w:ascii="Times New Roman" w:cs="Times New Roman" w:eastAsia="Times New Roman" w:hAnsi="Times New Roman"/>
                <w:sz w:val="32"/>
                <w:szCs w:val="32"/>
                <w:color w:val="auto"/>
                <w:vertAlign w:val="subscript"/>
              </w:rPr>
              <w:t>Bank</w:t>
            </w:r>
            <w:r>
              <w:rPr>
                <w:rFonts w:ascii="Times New Roman" w:cs="Times New Roman" w:eastAsia="Times New Roman" w:hAnsi="Times New Roman"/>
                <w:sz w:val="11"/>
                <w:szCs w:val="11"/>
                <w:color w:val="auto"/>
              </w:rPr>
              <w:t>(ix)</w:t>
            </w:r>
          </w:p>
        </w:tc>
        <w:tc>
          <w:tcPr>
            <w:tcW w:w="160" w:type="dxa"/>
            <w:vAlign w:val="bottom"/>
          </w:tcPr>
          <w:p>
            <w:pPr>
              <w:spacing w:after="0"/>
              <w:rPr>
                <w:sz w:val="24"/>
                <w:szCs w:val="24"/>
                <w:color w:val="auto"/>
              </w:rPr>
            </w:pPr>
          </w:p>
        </w:tc>
        <w:tc>
          <w:tcPr>
            <w:tcW w:w="21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4.81%​​​ March 24, 2022</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March 23, 2023</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405,960​​​​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shd w:val="clear" w:color="auto" w:fill="CCEEFF"/>
          </w:tcPr>
          <w:p>
            <w:pPr>
              <w:spacing w:after="0"/>
              <w:rPr>
                <w:sz w:val="22"/>
                <w:szCs w:val="22"/>
                <w:color w:val="auto"/>
              </w:rPr>
            </w:pP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12"/>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6,422,896</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5,324,019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Issuance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 ​December 31, ​ ​ December 31, ​</w:t>
            </w:r>
          </w:p>
        </w:tc>
        <w:tc>
          <w:tcPr>
            <w:tcW w:w="0" w:type="dxa"/>
            <w:vAlign w:val="bottom"/>
          </w:tcPr>
          <w:p>
            <w:pPr>
              <w:spacing w:after="0"/>
              <w:rPr>
                <w:sz w:val="1"/>
                <w:szCs w:val="1"/>
                <w:color w:val="auto"/>
              </w:rPr>
            </w:pPr>
          </w:p>
        </w:tc>
      </w:tr>
      <w:tr>
        <w:trPr>
          <w:trHeight w:val="201"/>
        </w:trPr>
        <w:tc>
          <w:tcPr>
            <w:tcW w:w="2520" w:type="dxa"/>
            <w:vAlign w:val="bottom"/>
            <w:tcBorders>
              <w:top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Long-term borrowing, current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Hua Xia Bank</w:t>
            </w:r>
            <w:r>
              <w:rPr>
                <w:rFonts w:ascii="Times New Roman" w:cs="Times New Roman" w:eastAsia="Times New Roman" w:hAnsi="Times New Roman"/>
                <w:sz w:val="23"/>
                <w:szCs w:val="23"/>
                <w:color w:val="auto"/>
                <w:vertAlign w:val="superscript"/>
              </w:rPr>
              <w:t>(x)</w:t>
            </w:r>
          </w:p>
        </w:tc>
        <w:tc>
          <w:tcPr>
            <w:tcW w:w="22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4.40%​​ ​March 29, 2023 ​ ​</w:t>
            </w:r>
          </w:p>
        </w:tc>
        <w:tc>
          <w:tcPr>
            <w:tcW w:w="15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March 21, 2024</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140,847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Hua Xia Bank</w:t>
            </w:r>
            <w:r>
              <w:rPr>
                <w:rFonts w:ascii="Times New Roman" w:cs="Times New Roman" w:eastAsia="Times New Roman" w:hAnsi="Times New Roman"/>
                <w:sz w:val="23"/>
                <w:szCs w:val="23"/>
                <w:color w:val="auto"/>
                <w:vertAlign w:val="superscript"/>
              </w:rPr>
              <w:t>(x)</w:t>
            </w:r>
          </w:p>
        </w:tc>
        <w:tc>
          <w:tcPr>
            <w:tcW w:w="820" w:type="dxa"/>
            <w:vAlign w:val="bottom"/>
            <w:tcBorders>
              <w:right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29, 2023</w:t>
            </w:r>
          </w:p>
        </w:tc>
        <w:tc>
          <w:tcPr>
            <w:tcW w:w="18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21, 2024</w:t>
            </w:r>
          </w:p>
        </w:tc>
        <w:tc>
          <w:tcPr>
            <w:tcW w:w="2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3"/>
            <w:vMerge w:val="restart"/>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140,847</w:t>
            </w:r>
          </w:p>
        </w:tc>
        <w:tc>
          <w:tcPr>
            <w:tcW w:w="20" w:type="dxa"/>
            <w:vAlign w:val="bottom"/>
            <w:shd w:val="clear" w:color="auto" w:fill="CCEEFF"/>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300" w:type="dxa"/>
            <w:vAlign w:val="bottom"/>
            <w:tcBorders>
              <w:right w:val="single" w:sz="8" w:color="CCEEFF"/>
            </w:tcBorders>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34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281,694​</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Hua Xia Bank</w:t>
            </w:r>
            <w:r>
              <w:rPr>
                <w:rFonts w:ascii="Times New Roman" w:cs="Times New Roman" w:eastAsia="Times New Roman" w:hAnsi="Times New Roman"/>
                <w:sz w:val="23"/>
                <w:szCs w:val="23"/>
                <w:color w:val="auto"/>
                <w:vertAlign w:val="superscript"/>
              </w:rPr>
              <w:t>(x)</w:t>
            </w:r>
          </w:p>
        </w:tc>
        <w:tc>
          <w:tcPr>
            <w:tcW w:w="8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March 29, 2023</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March 29, 2026</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3"/>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​3,713,180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340" w:type="dxa"/>
            <w:vAlign w:val="bottom"/>
          </w:tcPr>
          <w:p>
            <w:pPr>
              <w:spacing w:after="0"/>
              <w:rPr>
                <w:sz w:val="4"/>
                <w:szCs w:val="4"/>
                <w:color w:val="auto"/>
              </w:rPr>
            </w:pPr>
          </w:p>
        </w:tc>
        <w:tc>
          <w:tcPr>
            <w:tcW w:w="2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tcBorders>
              <w:right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5"/>
                <w:szCs w:val="25"/>
                <w:b w:val="1"/>
                <w:bCs w:val="1"/>
                <w:color w:val="auto"/>
                <w:vertAlign w:val="superscript"/>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6"/>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3,994,874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-1927860</wp:posOffset>
            </wp:positionV>
            <wp:extent cx="52120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-3745230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-3745230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-3745230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-3745230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-3745230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-273685</wp:posOffset>
            </wp:positionV>
            <wp:extent cx="52120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-728345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-1345565</wp:posOffset>
            </wp:positionV>
            <wp:extent cx="1028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-1345565</wp:posOffset>
            </wp:positionV>
            <wp:extent cx="10287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-1345565</wp:posOffset>
            </wp:positionV>
            <wp:extent cx="1028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-1345565</wp:posOffset>
            </wp:positionV>
            <wp:extent cx="1028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-1345565</wp:posOffset>
            </wp:positionV>
            <wp:extent cx="1028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9" w:lineRule="exact"/>
        <w:rPr>
          <w:sz w:val="20"/>
          <w:szCs w:val="20"/>
          <w:color w:val="auto"/>
        </w:rPr>
      </w:pPr>
    </w:p>
    <w:p>
      <w:pPr>
        <w:ind w:left="1620" w:right="499" w:hanging="360"/>
        <w:spacing w:after="0" w:line="276"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RMB30,000,000 (approximately $4,225,412). The loan is pledged by existing and potential account receivables of Wuhan ESVF, Shenzhen VF and Xinghui Culture due from Tengjing Sports Culture Development (Shanghai) Co., Ltd., Shenzhen Tencent Computer Systems Co., Ltd., Tencent Technology (Chengdu) Co., Ltd., Tencent Technology (Shenzhen) Co., Ltd and Shanghai Lingyang Culture Communication Co., Ltd. (Note 4), and guaranteed by Shenzhen VF and the Group’s shareholders, Liwei Sun and Rui Zhou.</w:t>
      </w:r>
    </w:p>
    <w:p>
      <w:pPr>
        <w:spacing w:after="0" w:line="59" w:lineRule="exact"/>
        <w:rPr>
          <w:rFonts w:ascii="Times New Roman" w:cs="Times New Roman" w:eastAsia="Times New Roman" w:hAnsi="Times New Roman"/>
          <w:sz w:val="14"/>
          <w:szCs w:val="14"/>
          <w:color w:val="auto"/>
        </w:rPr>
      </w:pPr>
    </w:p>
    <w:p>
      <w:pPr>
        <w:ind w:left="1620" w:right="439" w:hanging="360"/>
        <w:spacing w:after="0" w:line="30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RMB5,000,000 (approximately $704,235). The loan is guaranteed by the Group’s shareholders, Liwei Sun and Rui Zhou.</w:t>
      </w:r>
    </w:p>
    <w:p>
      <w:pPr>
        <w:spacing w:after="0" w:line="26" w:lineRule="exact"/>
        <w:rPr>
          <w:rFonts w:ascii="Times New Roman" w:cs="Times New Roman" w:eastAsia="Times New Roman" w:hAnsi="Times New Roman"/>
          <w:sz w:val="14"/>
          <w:szCs w:val="14"/>
          <w:color w:val="auto"/>
        </w:rPr>
      </w:pPr>
    </w:p>
    <w:p>
      <w:pPr>
        <w:ind w:left="1620" w:right="499" w:hanging="360"/>
        <w:spacing w:after="0" w:line="32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RMB2,800,000 (approximately $394,372). The loan is guaranteed by the Group’s director and senior vice president, and minority shareholder of Hongli Culture, Lei Zhang.</w:t>
      </w:r>
    </w:p>
    <w:p>
      <w:pPr>
        <w:spacing w:after="0" w:line="13" w:lineRule="exact"/>
        <w:rPr>
          <w:rFonts w:ascii="Times New Roman" w:cs="Times New Roman" w:eastAsia="Times New Roman" w:hAnsi="Times New Roman"/>
          <w:sz w:val="14"/>
          <w:szCs w:val="14"/>
          <w:color w:val="auto"/>
        </w:rPr>
      </w:pPr>
    </w:p>
    <w:p>
      <w:pPr>
        <w:ind w:left="1620" w:right="779" w:hanging="360"/>
        <w:spacing w:after="0" w:line="30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RMB7,000,000 (approximately $1,014,905). The loan is guaranteed by the Group’s shareholder, Liwei Sun.</w:t>
      </w:r>
    </w:p>
    <w:p>
      <w:pPr>
        <w:spacing w:after="0" w:line="40" w:lineRule="exact"/>
        <w:rPr>
          <w:rFonts w:ascii="Times New Roman" w:cs="Times New Roman" w:eastAsia="Times New Roman" w:hAnsi="Times New Roman"/>
          <w:sz w:val="14"/>
          <w:szCs w:val="14"/>
          <w:color w:val="auto"/>
        </w:rPr>
      </w:pPr>
    </w:p>
    <w:p>
      <w:pPr>
        <w:ind w:left="1620" w:right="479" w:hanging="360"/>
        <w:spacing w:after="0" w:line="30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RMB10,000,000 (approximately $1,449,864). The loan is guaranteed by Wuhan Zhongzhe Financing Guarantee Co., LTD., Shenzhen VF and the Group’s shareholders, Liwei Sun and Rui Zhou.</w:t>
      </w:r>
    </w:p>
    <w:p>
      <w:pPr>
        <w:spacing w:after="0" w:line="40" w:lineRule="exact"/>
        <w:rPr>
          <w:rFonts w:ascii="Times New Roman" w:cs="Times New Roman" w:eastAsia="Times New Roman" w:hAnsi="Times New Roman"/>
          <w:sz w:val="14"/>
          <w:szCs w:val="14"/>
          <w:color w:val="auto"/>
        </w:rPr>
      </w:pPr>
    </w:p>
    <w:p>
      <w:pPr>
        <w:ind w:left="1620" w:right="899" w:hanging="360"/>
        <w:spacing w:after="0" w:line="30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RMB10,000,000 (approximately $1,449,864). The loan is guaranteed by Shenzhen VF and the Group’s shareholders, Liwei Sun and Rui Zhou.</w:t>
      </w:r>
    </w:p>
    <w:p>
      <w:pPr>
        <w:spacing w:after="0" w:line="26" w:lineRule="exact"/>
        <w:rPr>
          <w:rFonts w:ascii="Times New Roman" w:cs="Times New Roman" w:eastAsia="Times New Roman" w:hAnsi="Times New Roman"/>
          <w:sz w:val="14"/>
          <w:szCs w:val="14"/>
          <w:color w:val="auto"/>
        </w:rPr>
      </w:pPr>
    </w:p>
    <w:p>
      <w:pPr>
        <w:ind w:left="1620" w:right="439" w:hanging="360"/>
        <w:spacing w:after="0" w:line="322" w:lineRule="auto"/>
        <w:tabs>
          <w:tab w:leader="none" w:pos="16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RMB9,500,000 (approximately $1,377,371). The loan is guaranteed by Shenzhen VF and the Group’s shareholders, Liwei Sun and Rui Zhou.</w:t>
      </w:r>
    </w:p>
    <w:p>
      <w:pPr>
        <w:sectPr>
          <w:pgSz w:w="11900" w:h="16838" w:orient="portrait"/>
          <w:cols w:equalWidth="0" w:num="1">
            <w:col w:w="9879"/>
          </w:cols>
          <w:pgMar w:left="580" w:top="97" w:right="1440" w:bottom="1440" w:gutter="0" w:footer="0" w:header="0"/>
        </w:sectPr>
      </w:pPr>
    </w:p>
    <w:p>
      <w:pPr>
        <w:spacing w:after="0" w:line="3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BORROWINGS — (continued)</w:t>
      </w:r>
    </w:p>
    <w:p>
      <w:pPr>
        <w:spacing w:after="0" w:line="211" w:lineRule="exact"/>
        <w:rPr>
          <w:sz w:val="20"/>
          <w:szCs w:val="20"/>
          <w:color w:val="auto"/>
        </w:rPr>
      </w:pPr>
    </w:p>
    <w:p>
      <w:pPr>
        <w:ind w:left="1620" w:right="439" w:hanging="360"/>
        <w:spacing w:after="0" w:line="302" w:lineRule="auto"/>
        <w:tabs>
          <w:tab w:leader="none" w:pos="16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RMB5,000,000 (approximately $724,932). The loan is guaranteed by the Group’s shareholders, Liwei Sun and Rui Zhou.</w:t>
      </w:r>
    </w:p>
    <w:p>
      <w:pPr>
        <w:spacing w:after="0" w:line="13" w:lineRule="exact"/>
        <w:rPr>
          <w:rFonts w:ascii="Times New Roman" w:cs="Times New Roman" w:eastAsia="Times New Roman" w:hAnsi="Times New Roman"/>
          <w:sz w:val="14"/>
          <w:szCs w:val="14"/>
          <w:color w:val="auto"/>
        </w:rPr>
      </w:pPr>
    </w:p>
    <w:p>
      <w:pPr>
        <w:ind w:left="1620" w:right="499" w:hanging="360"/>
        <w:spacing w:after="0" w:line="322" w:lineRule="auto"/>
        <w:tabs>
          <w:tab w:leader="none" w:pos="16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RMB2,800,000 (approximately $405,960). The loan is guaranteed by the Group’s director and senior vice president, and minority shareholder of Hongli Culture, Lei Zhang.</w:t>
      </w:r>
    </w:p>
    <w:p>
      <w:pPr>
        <w:ind w:left="1620" w:right="419" w:hanging="360"/>
        <w:spacing w:after="0" w:line="276" w:lineRule="auto"/>
        <w:tabs>
          <w:tab w:leader="none" w:pos="16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the loan is RMB30,000,000 (approximately $4,225,412). The loan is guaranteed by Wuhan Zhongzhe Financing Guarantee Co., LTD., Hongli Culture and the Group’s shareholders, Liwei Sun and Rui Zhou. For the year ended December 31, 2023, the payment of the principal of RMB1,000,000 (approximately $140,847) and debt issuance costs of RMB636,792 (approximately $89,690) were deducted from the proceeds from the loan. As of December 31, 2023, the outstanding loan principal of RMB2,000,000 (approximately $281,694) is due within twelve months, which is classified as current portion of long-term borrowing and the remaining portion of principal of RMB 26,363,208 (approximately $3,713,180) is presented as a long-term borrowing.</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1620" w:hanging="360"/>
        <w:spacing w:after="0"/>
        <w:tabs>
          <w:tab w:leader="none" w:pos="162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Professional service fees payable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Payroll payable</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League tournaments transaction service fee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797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Payable for acquisition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968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890,221​​</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​​$2,776,082​</w:t>
            </w:r>
          </w:p>
        </w:tc>
      </w:tr>
      <w:tr>
        <w:trPr>
          <w:trHeight w:val="257"/>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936,404​​</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​1,098,012​</w:t>
            </w: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847,889​​</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​1,082,744​</w:t>
            </w:r>
          </w:p>
        </w:tc>
      </w:tr>
      <w:tr>
        <w:trPr>
          <w:trHeight w:val="283"/>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834,078​​</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810,265​</w:t>
            </w:r>
          </w:p>
        </w:tc>
      </w:tr>
      <w:tr>
        <w:trPr>
          <w:trHeight w:val="279"/>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139,044​​</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339,155​</w:t>
            </w:r>
          </w:p>
        </w:tc>
      </w:tr>
      <w:tr>
        <w:trPr>
          <w:trHeight w:val="248"/>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579,945</w:t>
            </w:r>
            <w:r>
              <w:rPr>
                <w:rFonts w:ascii="Times New Roman" w:cs="Times New Roman" w:eastAsia="Times New Roman" w:hAnsi="Times New Roman"/>
                <w:sz w:val="28"/>
                <w:szCs w:val="28"/>
                <w:color w:val="auto"/>
                <w:vertAlign w:val="subscript"/>
              </w:rPr>
              <w:t>​​</w:t>
            </w:r>
          </w:p>
        </w:tc>
        <w:tc>
          <w:tcPr>
            <w:tcW w:w="28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20" w:type="dxa"/>
            <w:vAlign w:val="bottom"/>
          </w:tcPr>
          <w:p>
            <w:pPr>
              <w:spacing w:after="0"/>
              <w:rPr>
                <w:sz w:val="21"/>
                <w:szCs w:val="21"/>
                <w:color w:val="auto"/>
              </w:rPr>
            </w:pPr>
          </w:p>
        </w:tc>
        <w:tc>
          <w:tcPr>
            <w:tcW w:w="2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jc w:val="center"/>
        <w:ind w:right="699"/>
        <w:spacing w:after="0" w:line="193"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$4,227,581</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$6,106,258</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6380" w:space="620"/>
            <w:col w:w="2879"/>
          </w:cols>
          <w:pgMar w:left="580" w:top="97" w:right="1440" w:bottom="1440" w:gutter="0" w:footer="0" w:header="0"/>
          <w:type w:val="continuous"/>
        </w:sectPr>
      </w:pPr>
    </w:p>
    <w:p>
      <w:pPr>
        <w:spacing w:after="0" w:line="48" w:lineRule="exact"/>
        <w:rPr>
          <w:sz w:val="20"/>
          <w:szCs w:val="20"/>
          <w:color w:val="auto"/>
        </w:rPr>
      </w:pPr>
    </w:p>
    <w:p>
      <w:pPr>
        <w:ind w:left="1620" w:right="559" w:hanging="360"/>
        <w:spacing w:after="0" w:line="322" w:lineRule="auto"/>
        <w:tabs>
          <w:tab w:leader="none" w:pos="16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represented the payable to KPL event organizer for the re-arrangement of league tournaments right resource due to the Group’s Reverse Acquisition.</w:t>
      </w:r>
    </w:p>
    <w:p>
      <w:pPr>
        <w:ind w:left="1620" w:hanging="360"/>
        <w:spacing w:after="0"/>
        <w:tabs>
          <w:tab w:leader="none" w:pos="16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mainly consisted of reimbursement payable to employees and miscellaneous fees payable to third parties.</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was incorporated in the Cayman Islands. Under the current laws of the Cayman Islands, the Company is not subject to income or capital gains taxes. In addition, dividend payments are not subject to withholdings tax in the Cayman Islands.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48"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Generally, Ninjas in Pyjamas is considered Sweden resident enterprises under Sweden tax law, and is subject to enterprise income tax on their worldwide taxable income as determined under Sweden tax laws. The applicable statutory income tax rate for the year ended 2023 is 20.6%, unless otherwise specified.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ESVF HK was established in Hong Kong and is subject to a two-tiered income tax rate for taxable income earned in Hong Kong effectively since April 1, 2018. The first HKD2 million of profits earned by a company is subject to be taxed at an income tax rate of 8.25%, while the remaining profits will continue</w:t>
      </w:r>
    </w:p>
    <w:p>
      <w:pPr>
        <w:sectPr>
          <w:pgSz w:w="11900" w:h="16838" w:orient="portrait"/>
          <w:cols w:equalWidth="0" w:num="1">
            <w:col w:w="9879"/>
          </w:cols>
          <w:pgMar w:left="580" w:top="97" w:right="1440" w:bottom="1440" w:gutter="0" w:footer="0" w:header="0"/>
          <w:type w:val="continuous"/>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TAXATION — (continued)</w:t>
      </w:r>
    </w:p>
    <w:p>
      <w:pPr>
        <w:spacing w:after="0" w:line="229" w:lineRule="exact"/>
        <w:rPr>
          <w:sz w:val="20"/>
          <w:szCs w:val="20"/>
          <w:color w:val="auto"/>
        </w:rPr>
      </w:pPr>
    </w:p>
    <w:p>
      <w:pPr>
        <w:ind w:left="1260" w:right="1440"/>
        <w:spacing w:after="0" w:line="281" w:lineRule="auto"/>
        <w:rPr>
          <w:sz w:val="20"/>
          <w:szCs w:val="20"/>
          <w:color w:val="auto"/>
        </w:rPr>
      </w:pPr>
      <w:r>
        <w:rPr>
          <w:rFonts w:ascii="Times New Roman" w:cs="Times New Roman" w:eastAsia="Times New Roman" w:hAnsi="Times New Roman"/>
          <w:sz w:val="18"/>
          <w:szCs w:val="18"/>
          <w:color w:val="auto"/>
        </w:rPr>
        <w:t>to be taxed at the existing tax rate, 16.5%. No provision for Hong Kong profits tax has been made in the consolidated financial statements as it has no assessable profit for the years ended December 31, 2022 and 2023.</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62" w:lineRule="exact"/>
        <w:rPr>
          <w:sz w:val="20"/>
          <w:szCs w:val="20"/>
          <w:color w:val="auto"/>
        </w:rPr>
      </w:pPr>
    </w:p>
    <w:p>
      <w:pPr>
        <w:jc w:val="both"/>
        <w:ind w:left="1260" w:right="1500" w:firstLine="360"/>
        <w:spacing w:after="0" w:line="274" w:lineRule="auto"/>
        <w:rPr>
          <w:sz w:val="20"/>
          <w:szCs w:val="20"/>
          <w:color w:val="auto"/>
        </w:rPr>
      </w:pPr>
      <w:r>
        <w:rPr>
          <w:rFonts w:ascii="Times New Roman" w:cs="Times New Roman" w:eastAsia="Times New Roman" w:hAnsi="Times New Roman"/>
          <w:sz w:val="18"/>
          <w:szCs w:val="18"/>
          <w:color w:val="auto"/>
        </w:rPr>
        <w:t>Generally, the Group’s WFOE and its subsidiaries, which are considered as PRC resident enterprises under PRC tax law, are subject to enterprise income tax on their worldwide taxable income as determined under PRC tax laws and accounting standards at a rate of 25%.</w:t>
      </w:r>
    </w:p>
    <w:p>
      <w:pPr>
        <w:spacing w:after="0" w:line="115" w:lineRule="exact"/>
        <w:rPr>
          <w:sz w:val="20"/>
          <w:szCs w:val="20"/>
          <w:color w:val="auto"/>
        </w:rPr>
      </w:pPr>
    </w:p>
    <w:p>
      <w:pPr>
        <w:ind w:left="1260" w:right="1260" w:firstLine="360"/>
        <w:spacing w:after="0" w:line="263" w:lineRule="auto"/>
        <w:rPr>
          <w:sz w:val="20"/>
          <w:szCs w:val="20"/>
          <w:color w:val="auto"/>
        </w:rPr>
      </w:pPr>
      <w:r>
        <w:rPr>
          <w:rFonts w:ascii="Times New Roman" w:cs="Times New Roman" w:eastAsia="Times New Roman" w:hAnsi="Times New Roman"/>
          <w:sz w:val="18"/>
          <w:szCs w:val="18"/>
          <w:color w:val="auto"/>
        </w:rPr>
        <w:t>The State Administration of Taxation further announced that from January 1, 2021 to December 31, 2022, for the portion of taxable income not exceeding RMB1 million, the amount of taxable income can be halved from 25% to 12.5%, and the corporate income tax will be levied at 20%, for small and low-profit enterprises, and from January 1, 2022 to December 31, 2024, small and low-profit enterprises can enjoy a 20% corporate income tax rate on 25% of the taxable income amount for the portion of taxable income more than RMB1 million but not exceeding RMB3 million. In accordance with announcement of the Ministry of Finance and the State Taxation Administration [2023] No. 6, which was effective from January 1, 2023 to December 31, 2024, preferential tax rate became 5% on taxable income below RMB1 million. According to announcement of the Ministry of Finance and the State Taxation Administration [2023] No.12, which became effective on August 2, 2023 and until to December 31, 2027, small, low profit enterprises is subject to the preferential income tax rate of 5% (only 25% of such taxable income shall be subject to enterprises income tax at a tax rate of 20%).</w:t>
      </w:r>
    </w:p>
    <w:p>
      <w:pPr>
        <w:spacing w:after="0" w:line="340" w:lineRule="exact"/>
        <w:rPr>
          <w:sz w:val="20"/>
          <w:szCs w:val="20"/>
          <w:color w:val="auto"/>
        </w:rPr>
      </w:pPr>
    </w:p>
    <w:p>
      <w:pPr>
        <w:ind w:left="1260" w:right="1280" w:firstLine="360"/>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2023, Dawei Xianglong, Changsha Liyao, Wuhan Yingciyuan, Xiamen Yingciyuan, Xingzhi Media, Xingjing Entertainment, Xinghui Media, Taicang Xingjing, Chengdu Xingjing Weiwu, Zhoushan Xingjing, Zhoushan Jingxi and Wuhan Muyecun were recognized as small-scale and low-profit enterprises.</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components of the (loss)/income before income taxes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28"/>
                <w:szCs w:val="28"/>
                <w:b w:val="1"/>
                <w:bCs w:val="1"/>
                <w:color w:val="auto"/>
                <w:vertAlign w:val="subscript"/>
              </w:rPr>
              <w:t>​</w:t>
            </w: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income tax provision consists of the following components: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$(5,909,664)</w:t>
            </w:r>
          </w:p>
        </w:tc>
        <w:tc>
          <w:tcPr>
            <w:tcW w:w="114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$(13,842,300)</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82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232,644​</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(535,803)</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(849,048)</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0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$(6,445,467)</w:t>
            </w:r>
          </w:p>
        </w:tc>
        <w:tc>
          <w:tcPr>
            <w:tcW w:w="11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$(14,458,704)</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4"/>
                <w:szCs w:val="4"/>
                <w:b w:val="1"/>
                <w:bCs w:val="1"/>
                <w:color w:val="auto"/>
              </w:rPr>
              <w:t>​​</w:t>
            </w:r>
          </w:p>
        </w:tc>
        <w:tc>
          <w:tcPr>
            <w:tcW w:w="120" w:type="dxa"/>
            <w:vAlign w:val="bottom"/>
          </w:tcPr>
          <w:p>
            <w:pPr>
              <w:spacing w:after="0"/>
              <w:rPr>
                <w:sz w:val="5"/>
                <w:szCs w:val="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4"/>
                <w:szCs w:val="4"/>
                <w:b w:val="1"/>
                <w:bCs w:val="1"/>
                <w:color w:val="auto"/>
              </w:rPr>
              <w:t>​​</w:t>
            </w: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0" w:lineRule="exact"/>
        <w:rPr>
          <w:sz w:val="20"/>
          <w:szCs w:val="20"/>
          <w:color w:val="auto"/>
        </w:rPr>
      </w:pPr>
    </w:p>
    <w:p>
      <w:pPr>
        <w:sectPr>
          <w:pgSz w:w="11900" w:h="16838" w:orient="portrait"/>
          <w:cols w:equalWidth="0" w:num="2">
            <w:col w:w="6460" w:space="340"/>
            <w:col w:w="392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448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700" w:type="dxa"/>
            <w:vAlign w:val="bottom"/>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​​$ 363,351​​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181,967</w:t>
            </w: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gridSpan w:val="2"/>
          </w:tcPr>
          <w:p>
            <w:pPr>
              <w:ind w:left="1620"/>
              <w:spacing w:after="0" w:line="202" w:lineRule="exact"/>
              <w:rPr>
                <w:sz w:val="20"/>
                <w:szCs w:val="20"/>
                <w:color w:val="auto"/>
              </w:rPr>
            </w:pPr>
            <w:r>
              <w:rPr>
                <w:rFonts w:ascii="Times New Roman" w:cs="Times New Roman" w:eastAsia="Times New Roman" w:hAnsi="Times New Roman"/>
                <w:sz w:val="18"/>
                <w:szCs w:val="18"/>
                <w:color w:val="auto"/>
              </w:rPr>
              <w:t>Deferred income tax benefits</w:t>
            </w:r>
          </w:p>
        </w:tc>
        <w:tc>
          <w:tcPr>
            <w:tcW w:w="270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​(502,805)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2"/>
          </w:tcPr>
          <w:p>
            <w:pPr>
              <w:jc w:val="right"/>
              <w:ind w:right="1488"/>
              <w:spacing w:after="0" w:line="202" w:lineRule="exact"/>
              <w:rPr>
                <w:sz w:val="20"/>
                <w:szCs w:val="20"/>
                <w:color w:val="auto"/>
              </w:rPr>
            </w:pPr>
            <w:r>
              <w:rPr>
                <w:rFonts w:ascii="Times New Roman" w:cs="Times New Roman" w:eastAsia="Times New Roman" w:hAnsi="Times New Roman"/>
                <w:sz w:val="18"/>
                <w:szCs w:val="18"/>
                <w:color w:val="auto"/>
                <w:w w:val="97"/>
              </w:rPr>
              <w:t>​(1,382,822)</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gridSpan w:val="4"/>
          </w:tcPr>
          <w:p>
            <w:pPr>
              <w:ind w:left="120"/>
              <w:spacing w:after="0" w:line="68" w:lineRule="exact"/>
              <w:rPr>
                <w:sz w:val="20"/>
                <w:szCs w:val="20"/>
                <w:color w:val="auto"/>
              </w:rPr>
            </w:pPr>
            <w:r>
              <w:rPr>
                <w:rFonts w:ascii="Times New Roman" w:cs="Times New Roman" w:eastAsia="Times New Roman" w:hAnsi="Times New Roman"/>
                <w:sz w:val="7"/>
                <w:szCs w:val="7"/>
                <w:color w:val="auto"/>
              </w:rPr>
              <w:t>​​ ​​</w:t>
            </w:r>
          </w:p>
        </w:tc>
        <w:tc>
          <w:tcPr>
            <w:tcW w:w="780" w:type="dxa"/>
            <w:vAlign w:val="bottom"/>
          </w:tcPr>
          <w:p>
            <w:pPr>
              <w:spacing w:after="0"/>
              <w:rPr>
                <w:sz w:val="5"/>
                <w:szCs w:val="5"/>
                <w:color w:val="auto"/>
              </w:rPr>
            </w:pPr>
          </w:p>
        </w:tc>
        <w:tc>
          <w:tcPr>
            <w:tcW w:w="16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benefits</w:t>
            </w:r>
          </w:p>
        </w:tc>
        <w:tc>
          <w:tcPr>
            <w:tcW w:w="2700" w:type="dxa"/>
            <w:vAlign w:val="bottom"/>
            <w:vMerge w:val="restart"/>
            <w:shd w:val="clear" w:color="auto" w:fill="CCEEFF"/>
          </w:tcPr>
          <w:p>
            <w:pPr>
              <w:ind w:left="26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$(139,454)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$(1,200,855)</w:t>
            </w:r>
          </w:p>
        </w:tc>
        <w:tc>
          <w:tcPr>
            <w:tcW w:w="162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2700" w:type="dxa"/>
            <w:vAlign w:val="bottom"/>
            <w:vMerge w:val="continue"/>
            <w:shd w:val="clear" w:color="auto" w:fill="CCEEFF"/>
          </w:tcPr>
          <w:p>
            <w:pPr>
              <w:spacing w:after="0"/>
              <w:rPr>
                <w:sz w:val="6"/>
                <w:szCs w:val="6"/>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560" w:type="dxa"/>
            <w:vAlign w:val="bottom"/>
            <w:shd w:val="clear" w:color="auto" w:fill="CCEEFF"/>
          </w:tcPr>
          <w:p>
            <w:pPr>
              <w:spacing w:after="0"/>
              <w:rPr>
                <w:sz w:val="6"/>
                <w:szCs w:val="6"/>
                <w:color w:val="auto"/>
              </w:rPr>
            </w:pPr>
          </w:p>
        </w:tc>
        <w:tc>
          <w:tcPr>
            <w:tcW w:w="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3"/>
                <w:szCs w:val="3"/>
                <w:b w:val="1"/>
                <w:bCs w:val="1"/>
                <w:color w:val="auto"/>
              </w:rPr>
              <w:t>​​ ​​</w:t>
            </w:r>
          </w:p>
        </w:tc>
        <w:tc>
          <w:tcPr>
            <w:tcW w:w="780" w:type="dxa"/>
            <w:vAlign w:val="bottom"/>
            <w:shd w:val="clear" w:color="auto" w:fill="CCEEFF"/>
          </w:tcPr>
          <w:p>
            <w:pPr>
              <w:spacing w:after="0"/>
              <w:rPr>
                <w:sz w:val="6"/>
                <w:szCs w:val="6"/>
                <w:color w:val="auto"/>
              </w:rPr>
            </w:pPr>
          </w:p>
        </w:tc>
        <w:tc>
          <w:tcPr>
            <w:tcW w:w="162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F-34</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-864870</wp:posOffset>
            </wp:positionV>
            <wp:extent cx="41916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1833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1833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TAXATION — (continued)</w:t>
      </w:r>
    </w:p>
    <w:p>
      <w:pPr>
        <w:spacing w:after="0" w:line="229"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PRC, mainland statutory rate is as follows:</w:t>
      </w:r>
    </w:p>
    <w:p>
      <w:pPr>
        <w:sectPr>
          <w:pgSz w:w="11900" w:h="16838" w:orient="portrait"/>
          <w:cols w:equalWidth="0" w:num="1">
            <w:col w:w="9879"/>
          </w:cols>
          <w:pgMar w:left="580" w:top="97" w:right="1440" w:bottom="1440" w:gutter="0" w:footer="0" w:header="0"/>
        </w:sectPr>
      </w:pPr>
    </w:p>
    <w:p>
      <w:pPr>
        <w:spacing w:after="0" w:line="1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 benefit at the PRC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 of preferential tax rates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Impact of different tax rates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on share-based compensation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on charitable donations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of non-deductible items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Prior year true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tax benefits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2" w:lineRule="exact"/>
        <w:rPr>
          <w:sz w:val="20"/>
          <w:szCs w:val="20"/>
          <w:color w:val="auto"/>
        </w:rPr>
      </w:pPr>
    </w:p>
    <w:p>
      <w:pPr>
        <w:ind w:left="160" w:hanging="115"/>
        <w:spacing w:after="0"/>
        <w:tabs>
          <w:tab w:leader="none" w:pos="1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​​$(6,445,467​​) ​​$(14,458,704​)</w:t>
      </w:r>
    </w:p>
    <w:p>
      <w:pPr>
        <w:spacing w:after="0" w:line="54" w:lineRule="exact"/>
        <w:rPr>
          <w:rFonts w:ascii="Times New Roman" w:cs="Times New Roman" w:eastAsia="Times New Roman" w:hAnsi="Times New Roman"/>
          <w:sz w:val="18"/>
          <w:szCs w:val="18"/>
          <w:color w:val="auto"/>
        </w:rPr>
      </w:pPr>
    </w:p>
    <w:p>
      <w:pPr>
        <w:ind w:left="160" w:hanging="115"/>
        <w:spacing w:after="0"/>
        <w:tabs>
          <w:tab w:leader="none" w:pos="1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​(1,611,367​​) ​​ ​ (3,614,676​)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66,197​​</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192,365​</w:t>
            </w:r>
          </w:p>
        </w:tc>
        <w:tc>
          <w:tcPr>
            <w:tcW w:w="0" w:type="dxa"/>
            <w:vAlign w:val="bottom"/>
          </w:tcPr>
          <w:p>
            <w:pPr>
              <w:spacing w:after="0"/>
              <w:rPr>
                <w:sz w:val="1"/>
                <w:szCs w:val="1"/>
                <w:color w:val="auto"/>
              </w:rPr>
            </w:pPr>
          </w:p>
        </w:tc>
      </w:tr>
      <w:tr>
        <w:trPr>
          <w:trHeight w:val="257"/>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112,720​​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187,136​</w:t>
            </w:r>
          </w:p>
        </w:tc>
        <w:tc>
          <w:tcPr>
            <w:tcW w:w="0" w:type="dxa"/>
            <w:vAlign w:val="bottom"/>
          </w:tcPr>
          <w:p>
            <w:pPr>
              <w:spacing w:after="0"/>
              <w:rPr>
                <w:sz w:val="1"/>
                <w:szCs w:val="1"/>
                <w:color w:val="auto"/>
              </w:rPr>
            </w:pPr>
          </w:p>
        </w:tc>
      </w:tr>
      <w:tr>
        <w:trPr>
          <w:trHeight w:val="257"/>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41,430​​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1,530,587​</w:t>
            </w:r>
          </w:p>
        </w:tc>
        <w:tc>
          <w:tcPr>
            <w:tcW w:w="0" w:type="dxa"/>
            <w:vAlign w:val="bottom"/>
          </w:tcPr>
          <w:p>
            <w:pPr>
              <w:spacing w:after="0"/>
              <w:rPr>
                <w:sz w:val="1"/>
                <w:szCs w:val="1"/>
                <w:color w:val="auto"/>
              </w:rPr>
            </w:pPr>
          </w:p>
        </w:tc>
      </w:tr>
      <w:tr>
        <w:trPr>
          <w:trHeight w:val="257"/>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18,944​​</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129,551​​</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159,573​</w:t>
            </w:r>
          </w:p>
        </w:tc>
        <w:tc>
          <w:tcPr>
            <w:tcW w:w="0" w:type="dxa"/>
            <w:vAlign w:val="bottom"/>
          </w:tcPr>
          <w:p>
            <w:pPr>
              <w:spacing w:after="0"/>
              <w:rPr>
                <w:sz w:val="1"/>
                <w:szCs w:val="1"/>
                <w:color w:val="auto"/>
              </w:rPr>
            </w:pPr>
          </w:p>
        </w:tc>
      </w:tr>
      <w:tr>
        <w:trPr>
          <w:trHeight w:val="180"/>
        </w:trPr>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(293,091)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(27,019)</w:t>
            </w:r>
          </w:p>
        </w:tc>
        <w:tc>
          <w:tcPr>
            <w:tcW w:w="0" w:type="dxa"/>
            <w:vAlign w:val="bottom"/>
          </w:tcPr>
          <w:p>
            <w:pPr>
              <w:spacing w:after="0"/>
              <w:rPr>
                <w:sz w:val="1"/>
                <w:szCs w:val="1"/>
                <w:color w:val="auto"/>
              </w:rPr>
            </w:pPr>
          </w:p>
        </w:tc>
      </w:tr>
      <w:tr>
        <w:trPr>
          <w:trHeight w:val="76"/>
        </w:trPr>
        <w:tc>
          <w:tcPr>
            <w:tcW w:w="3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48"/>
        </w:trPr>
        <w:tc>
          <w:tcPr>
            <w:tcW w:w="1220" w:type="dxa"/>
            <w:vAlign w:val="bottom"/>
            <w:gridSpan w:val="5"/>
          </w:tcPr>
          <w:p>
            <w:pPr>
              <w:jc w:val="right"/>
              <w:ind w:right="20"/>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​1,396,162</w:t>
            </w:r>
            <w:r>
              <w:rPr>
                <w:rFonts w:ascii="Times New Roman" w:cs="Times New Roman" w:eastAsia="Times New Roman" w:hAnsi="Times New Roman"/>
                <w:sz w:val="28"/>
                <w:szCs w:val="28"/>
                <w:color w:val="auto"/>
                <w:vertAlign w:val="subscript"/>
              </w:rPr>
              <w:t>​​</w:t>
            </w:r>
          </w:p>
        </w:tc>
        <w:tc>
          <w:tcPr>
            <w:tcW w:w="2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60" w:type="dxa"/>
            <w:vAlign w:val="bottom"/>
            <w:gridSpan w:val="3"/>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371,179</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(139,454)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(1,200,855)</w:t>
            </w:r>
          </w:p>
        </w:tc>
        <w:tc>
          <w:tcPr>
            <w:tcW w:w="0" w:type="dxa"/>
            <w:vAlign w:val="bottom"/>
          </w:tcPr>
          <w:p>
            <w:pPr>
              <w:spacing w:after="0"/>
              <w:rPr>
                <w:sz w:val="1"/>
                <w:szCs w:val="1"/>
                <w:color w:val="auto"/>
              </w:rPr>
            </w:pPr>
          </w:p>
        </w:tc>
      </w:tr>
      <w:tr>
        <w:trPr>
          <w:trHeight w:val="68"/>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4"/>
                <w:szCs w:val="4"/>
                <w:b w:val="1"/>
                <w:bCs w:val="1"/>
                <w:color w:val="auto"/>
              </w:rPr>
              <w:t>​ ​​</w:t>
            </w:r>
          </w:p>
        </w:tc>
        <w:tc>
          <w:tcPr>
            <w:tcW w:w="80" w:type="dxa"/>
            <w:vAlign w:val="bottom"/>
          </w:tcPr>
          <w:p>
            <w:pPr>
              <w:spacing w:after="0"/>
              <w:rPr>
                <w:sz w:val="5"/>
                <w:szCs w:val="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4"/>
                <w:szCs w:val="4"/>
                <w:b w:val="1"/>
                <w:bCs w:val="1"/>
                <w:color w:val="auto"/>
              </w:rPr>
              <w:t>​​</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3079"/>
          </w:cols>
          <w:pgMar w:left="580" w:top="97" w:right="1440" w:bottom="1440" w:gutter="0" w:footer="0" w:header="0"/>
          <w:type w:val="continuous"/>
        </w:sectPr>
      </w:pPr>
    </w:p>
    <w:p>
      <w:pPr>
        <w:spacing w:after="0" w:line="38"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As of December 31, 2022 and 2023, the significant components of the deferred tax assets and deferred tax liability are summarized below:</w:t>
      </w:r>
    </w:p>
    <w:p>
      <w:pPr>
        <w:sectPr>
          <w:pgSz w:w="11900" w:h="16838" w:orient="portrait"/>
          <w:cols w:equalWidth="0" w:num="1">
            <w:col w:w="9879"/>
          </w:cols>
          <w:pgMar w:left="580" w:top="97" w:right="1440" w:bottom="1440" w:gutter="0" w:footer="0" w:header="0"/>
          <w:type w:val="continuous"/>
        </w:sectPr>
      </w:pPr>
    </w:p>
    <w:p>
      <w:pPr>
        <w:spacing w:after="0" w:line="1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 gross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797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acquired from business combination</w:t>
      </w:r>
      <w:r>
        <w:rPr>
          <w:rFonts w:ascii="Times New Roman" w:cs="Times New Roman" w:eastAsia="Times New Roman" w:hAnsi="Times New Roman"/>
          <w:sz w:val="23"/>
          <w:szCs w:val="23"/>
          <w:color w:val="auto"/>
          <w:vertAlign w:val="superscript"/>
        </w:rPr>
        <w:t>(i)</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acquired from asset acquisition</w:t>
      </w:r>
      <w:r>
        <w:rPr>
          <w:rFonts w:ascii="Times New Roman" w:cs="Times New Roman" w:eastAsia="Times New Roman" w:hAnsi="Times New Roman"/>
          <w:sz w:val="23"/>
          <w:szCs w:val="23"/>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9525</wp:posOffset>
            </wp:positionV>
            <wp:extent cx="4749165" cy="1968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131445</wp:posOffset>
            </wp:positionV>
            <wp:extent cx="123444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gridSpan w:val="2"/>
          </w:tcPr>
          <w:p>
            <w:pPr>
              <w:spacing w:after="0"/>
              <w:rPr>
                <w:sz w:val="20"/>
                <w:szCs w:val="20"/>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1,377,263​​</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2,254,068​</w:t>
            </w:r>
          </w:p>
        </w:tc>
        <w:tc>
          <w:tcPr>
            <w:tcW w:w="0" w:type="dxa"/>
            <w:vAlign w:val="bottom"/>
          </w:tcPr>
          <w:p>
            <w:pPr>
              <w:spacing w:after="0"/>
              <w:rPr>
                <w:sz w:val="1"/>
                <w:szCs w:val="1"/>
                <w:color w:val="auto"/>
              </w:rPr>
            </w:pPr>
          </w:p>
        </w:tc>
      </w:tr>
      <w:tr>
        <w:trPr>
          <w:trHeight w:val="261"/>
        </w:trPr>
        <w:tc>
          <w:tcPr>
            <w:tcW w:w="144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 ​​ ​ 1,377,263​​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2,254,068​</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​(1,372,267)</w:t>
            </w:r>
          </w:p>
        </w:tc>
        <w:tc>
          <w:tcPr>
            <w:tcW w:w="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​(1,703,274)</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9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4,996</w:t>
            </w:r>
            <w:r>
              <w:rPr>
                <w:rFonts w:ascii="Times New Roman" w:cs="Times New Roman" w:eastAsia="Times New Roman" w:hAnsi="Times New Roman"/>
                <w:sz w:val="28"/>
                <w:szCs w:val="28"/>
                <w:b w:val="1"/>
                <w:bCs w:val="1"/>
                <w:color w:val="auto"/>
                <w:vertAlign w:val="subscript"/>
              </w:rPr>
              <w:t>​​</w:t>
            </w:r>
          </w:p>
        </w:tc>
        <w:tc>
          <w:tcPr>
            <w:tcW w:w="1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880" w:type="dxa"/>
            <w:vAlign w:val="bottom"/>
            <w:gridSpan w:val="3"/>
          </w:tcPr>
          <w:p>
            <w:pPr>
              <w:jc w:val="right"/>
              <w:ind w:right="20"/>
              <w:spacing w:after="0" w:line="250" w:lineRule="exact"/>
              <w:rPr>
                <w:sz w:val="20"/>
                <w:szCs w:val="20"/>
                <w:color w:val="auto"/>
              </w:rPr>
            </w:pPr>
            <w:r>
              <w:rPr>
                <w:rFonts w:ascii="Times New Roman" w:cs="Times New Roman" w:eastAsia="Times New Roman" w:hAnsi="Times New Roman"/>
                <w:sz w:val="15"/>
                <w:szCs w:val="15"/>
                <w:b w:val="1"/>
                <w:bCs w:val="1"/>
                <w:color w:val="auto"/>
              </w:rPr>
              <w:t>550,794</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0" w:type="dxa"/>
            <w:vAlign w:val="bottom"/>
            <w:vMerge w:val="continue"/>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​​$ 7,889,276​​ ​​$22,579,335​</w:t>
      </w:r>
    </w:p>
    <w:p>
      <w:pPr>
        <w:ind w:left="4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2,956,626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2,079,880</w:t>
      </w:r>
      <w:r>
        <w:rPr>
          <w:rFonts w:ascii="Times New Roman" w:cs="Times New Roman" w:eastAsia="Times New Roman" w:hAnsi="Times New Roman"/>
          <w:sz w:val="35"/>
          <w:szCs w:val="35"/>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$10,845,902</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$24,659,215</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6120" w:space="720"/>
            <w:col w:w="3039"/>
          </w:cols>
          <w:pgMar w:left="580" w:top="97" w:right="1440" w:bottom="1440" w:gutter="0" w:footer="0" w:header="0"/>
          <w:type w:val="continuous"/>
        </w:sectPr>
      </w:pPr>
    </w:p>
    <w:p>
      <w:pPr>
        <w:spacing w:after="0" w:line="89" w:lineRule="exact"/>
        <w:rPr>
          <w:sz w:val="20"/>
          <w:szCs w:val="20"/>
          <w:color w:val="auto"/>
        </w:rPr>
      </w:pPr>
    </w:p>
    <w:p>
      <w:pPr>
        <w:ind w:left="1620" w:right="619" w:hanging="360"/>
        <w:spacing w:after="0" w:line="287" w:lineRule="auto"/>
        <w:tabs>
          <w:tab w:leader="none" w:pos="16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initial recognized $8,798,807 and $14,427,828 of deferred tax liability from reverse acquisition on March 18, 2021 and business acquisition on January 10, 2023 due to appreciation fair value of intangible assets acquired. The Group reverse $42,046 and $40,846 due to amortization of related intangible assets during the years end December 31, 2022 and 2023, respectively.</w:t>
      </w:r>
    </w:p>
    <w:p>
      <w:pPr>
        <w:spacing w:after="0" w:line="232" w:lineRule="exact"/>
        <w:rPr>
          <w:rFonts w:ascii="Times New Roman" w:cs="Times New Roman" w:eastAsia="Times New Roman" w:hAnsi="Times New Roman"/>
          <w:sz w:val="14"/>
          <w:szCs w:val="14"/>
          <w:color w:val="auto"/>
        </w:rPr>
      </w:pPr>
    </w:p>
    <w:p>
      <w:pPr>
        <w:jc w:val="both"/>
        <w:ind w:left="1620" w:right="919" w:hanging="360"/>
        <w:spacing w:after="0" w:line="322" w:lineRule="auto"/>
        <w:tabs>
          <w:tab w:leader="none" w:pos="16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initial recognized $4,413,819 of deferred tax liability from asset acquisition in 2021 and reverse $815,621 and $792,335 due to amortization of related intangible assets during the years end December 31, 2022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TAXATION — (continued)</w:t>
      </w:r>
    </w:p>
    <w:p>
      <w:pPr>
        <w:spacing w:after="0" w:line="22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 Group had net operating loss carryforwards of approximately $5,997,829 and $10,941,745 respectively, which arose from the Group’s subsidiaries established in the PRC. As of December 31, 2023, net operating loss carryforwards will expire, if unused, in the following amounts: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1,606,251​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4,210,152​</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4,388,643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3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10,941,745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6360" w:type="dxa"/>
            <w:vAlign w:val="bottom"/>
          </w:tcPr>
          <w:p>
            <w:pPr>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280" w:type="dxa"/>
            <w:vAlign w:val="bottom"/>
            <w:gridSpan w:val="3"/>
          </w:tcPr>
          <w:p>
            <w:pPr>
              <w:ind w:left="60"/>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2023, the Group had net operating loss carryforwards of approximately $179,994 that can be carried forward indefinitely, which arose from Group’s subsidiary established in the Hong Kong.</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Movement of valuation allowance is as follow:</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For the years ended December 31, </w:t>
            </w:r>
            <w:r>
              <w:rPr>
                <w:rFonts w:ascii="Times New Roman" w:cs="Times New Roman" w:eastAsia="Times New Roman" w:hAnsi="Times New Roman"/>
                <w:sz w:val="28"/>
                <w:szCs w:val="28"/>
                <w:b w:val="1"/>
                <w:bCs w:val="1"/>
                <w:color w:val="auto"/>
                <w:w w:val="99"/>
                <w:vertAlign w:val="subscript"/>
              </w:rPr>
              <w: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14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40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1,372,267</w:t>
            </w:r>
          </w:p>
        </w:tc>
        <w:tc>
          <w:tcPr>
            <w:tcW w:w="80" w:type="dxa"/>
            <w:vAlign w:val="bottom"/>
          </w:tcPr>
          <w:p>
            <w:pPr>
              <w:spacing w:after="0"/>
              <w:rPr>
                <w:sz w:val="18"/>
                <w:szCs w:val="18"/>
                <w:color w:val="auto"/>
              </w:rPr>
            </w:pP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1,398,293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40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effect</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40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​1,372,267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​1,703,274</w:t>
            </w:r>
          </w:p>
        </w:tc>
        <w:tc>
          <w:tcPr>
            <w:tcW w:w="80" w:type="dxa"/>
            <w:vAlign w:val="bottom"/>
          </w:tcPr>
          <w:p>
            <w:pPr>
              <w:spacing w:after="0"/>
              <w:rPr>
                <w:sz w:val="20"/>
                <w:szCs w:val="20"/>
                <w:color w:val="auto"/>
              </w:rPr>
            </w:pP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-908050</wp:posOffset>
            </wp:positionV>
            <wp:extent cx="41662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Under the applicable accounting standards, management has considered the Group’s history of losses and concluded that it is more likely than not that some subsidiaries of the Group will not generate future taxable income prior to the expiration of the majority of net operating losses for $ 8,762,019. Accordingly, as of December 31, 2022 and 2023, a $1,372,267 and $1,703,274 valuation allowance has been established respectively.</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5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2022 and 2023, the Group did not have any significant unrecognized uncertain tax positions. The Group does not believe that its uncertain tax benefits position will materially change over the next twelve months.</w:t>
      </w:r>
    </w:p>
    <w:p>
      <w:pPr>
        <w:spacing w:after="0" w:line="102"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For the years ended December 31, 2022 and 2023, the Company did not incur any interest and penalties related to potential underpaid income tax expenses. As of December 31, 2023, the tax years ended December 31, 2018 through 2022 for the Group’s subsidiaries in the PRC are generally subject to examination by the PRC tax authorities.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48" w:lineRule="exact"/>
        <w:rPr>
          <w:sz w:val="20"/>
          <w:szCs w:val="20"/>
          <w:color w:val="auto"/>
        </w:rPr>
      </w:pPr>
    </w:p>
    <w:p>
      <w:pPr>
        <w:ind w:left="1260" w:right="1380" w:firstLine="360"/>
        <w:spacing w:after="0" w:line="261" w:lineRule="auto"/>
        <w:rPr>
          <w:sz w:val="20"/>
          <w:szCs w:val="20"/>
          <w:color w:val="auto"/>
        </w:rPr>
      </w:pPr>
      <w:r>
        <w:rPr>
          <w:rFonts w:ascii="Times New Roman" w:cs="Times New Roman" w:eastAsia="Times New Roman" w:hAnsi="Times New Roman"/>
          <w:sz w:val="18"/>
          <w:szCs w:val="18"/>
          <w:color w:val="auto"/>
        </w:rPr>
        <w:t>The CODMs review financial information of operating segments based on internal management report when making decisions about allocating resources and assessing the performance of the Group. As a result of the assessment made by CODMs, the Group has two reportable segments, including PRC and other entities, and Ninjas in Pyjamas.</w:t>
      </w:r>
    </w:p>
    <w:p>
      <w:pPr>
        <w:spacing w:after="0" w:line="112" w:lineRule="exact"/>
        <w:rPr>
          <w:sz w:val="20"/>
          <w:szCs w:val="20"/>
          <w:color w:val="auto"/>
        </w:rPr>
      </w:pPr>
    </w:p>
    <w:p>
      <w:pPr>
        <w:ind w:left="1260" w:right="1900" w:firstLine="360"/>
        <w:spacing w:after="0" w:line="282" w:lineRule="auto"/>
        <w:rPr>
          <w:sz w:val="20"/>
          <w:szCs w:val="20"/>
          <w:color w:val="auto"/>
        </w:rPr>
      </w:pPr>
      <w:r>
        <w:rPr>
          <w:rFonts w:ascii="Times New Roman" w:cs="Times New Roman" w:eastAsia="Times New Roman" w:hAnsi="Times New Roman"/>
          <w:sz w:val="18"/>
          <w:szCs w:val="18"/>
          <w:color w:val="auto"/>
        </w:rPr>
        <w:t>The Group’s CODMs evaluate performance based on the operating segment’s revenue and their operating results. The revenue and operating results by segments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33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 2022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PRC and other</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spacing w:after="0"/>
              <w:rPr>
                <w:sz w:val="18"/>
                <w:szCs w:val="18"/>
                <w:color w:val="auto"/>
              </w:rPr>
            </w:pP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52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Ninjas in Pyjamas </w:t>
            </w:r>
            <w:r>
              <w:rPr>
                <w:rFonts w:ascii="Times New Roman" w:cs="Times New Roman" w:eastAsia="Times New Roman" w:hAnsi="Times New Roman"/>
                <w:sz w:val="24"/>
                <w:szCs w:val="24"/>
                <w:b w:val="1"/>
                <w:bCs w:val="1"/>
                <w:color w:val="auto"/>
                <w:vertAlign w:val="subscript"/>
              </w:rPr>
              <w:t>​ ​</w:t>
            </w:r>
          </w:p>
        </w:tc>
        <w:tc>
          <w:tcPr>
            <w:tcW w:w="9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Consolidated </w:t>
            </w:r>
            <w:r>
              <w:rPr>
                <w:rFonts w:ascii="Times New Roman" w:cs="Times New Roman" w:eastAsia="Times New Roman" w:hAnsi="Times New Roman"/>
                <w:sz w:val="24"/>
                <w:szCs w:val="24"/>
                <w:b w:val="1"/>
                <w:bCs w:val="1"/>
                <w:color w:val="auto"/>
                <w:vertAlign w:val="subscript"/>
              </w:rPr>
              <w:t>​</w:t>
            </w:r>
          </w:p>
        </w:tc>
      </w:tr>
      <w:tr>
        <w:trPr>
          <w:trHeight w:val="20"/>
        </w:trPr>
        <w:tc>
          <w:tcPr>
            <w:tcW w:w="27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spacing w:after="0"/>
              <w:rPr>
                <w:sz w:val="19"/>
                <w:szCs w:val="19"/>
                <w:color w:val="auto"/>
              </w:rPr>
            </w:pPr>
          </w:p>
        </w:tc>
        <w:tc>
          <w:tcPr>
            <w:tcW w:w="136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​​$ 65,835,111​​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​​$65,835,111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160" w:type="dxa"/>
            <w:vAlign w:val="bottom"/>
          </w:tcPr>
          <w:p>
            <w:pPr>
              <w:spacing w:after="0"/>
              <w:rPr>
                <w:sz w:val="23"/>
                <w:szCs w:val="23"/>
                <w:color w:val="auto"/>
              </w:rPr>
            </w:pPr>
          </w:p>
        </w:tc>
        <w:tc>
          <w:tcPr>
            <w:tcW w:w="136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​(6,445,467​​)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​(6,445,467​)</w:t>
            </w:r>
          </w:p>
        </w:tc>
      </w:tr>
      <w:tr>
        <w:trPr>
          <w:trHeight w:val="405"/>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9"/>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 2023</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PRC and other</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subsidiaries   </w:t>
            </w:r>
            <w:r>
              <w:rPr>
                <w:rFonts w:ascii="Times New Roman" w:cs="Times New Roman" w:eastAsia="Times New Roman" w:hAnsi="Times New Roman"/>
                <w:sz w:val="24"/>
                <w:szCs w:val="24"/>
                <w:b w:val="1"/>
                <w:bCs w:val="1"/>
                <w:color w:val="auto"/>
                <w:vertAlign w:val="subscript"/>
              </w:rPr>
              <w:t>​</w:t>
            </w:r>
          </w:p>
        </w:tc>
        <w:tc>
          <w:tcPr>
            <w:tcW w:w="12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Ninjas in Pyjamas</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​​$ 75,179,138​​</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​$8,489,303</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​​$ 83,668,441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(Loss) profit before tax</w:t>
            </w:r>
          </w:p>
        </w:tc>
        <w:tc>
          <w:tcPr>
            <w:tcW w:w="1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​(14,691,348​​)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 232,644</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​(14,458,704​)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-1165225</wp:posOffset>
            </wp:positionV>
            <wp:extent cx="1371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-1165225</wp:posOffset>
            </wp:positionV>
            <wp:extent cx="33432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43275" cy="889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-325120</wp:posOffset>
            </wp:positionV>
            <wp:extent cx="137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-325120</wp:posOffset>
            </wp:positionV>
            <wp:extent cx="327469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total assets by segments as of December 31, 2022 and 2023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9"/>
                <w:szCs w:val="19"/>
                <w:color w:val="auto"/>
              </w:rPr>
            </w:pPr>
          </w:p>
        </w:tc>
        <w:tc>
          <w:tcPr>
            <w:tcW w:w="7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16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CEEFF"/>
          </w:tcPr>
          <w:p>
            <w:pPr>
              <w:spacing w:after="0"/>
              <w:rPr>
                <w:sz w:val="19"/>
                <w:szCs w:val="19"/>
                <w:color w:val="auto"/>
              </w:rPr>
            </w:pPr>
          </w:p>
        </w:tc>
        <w:tc>
          <w:tcPr>
            <w:tcW w:w="16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 ​</w:t>
            </w:r>
          </w:p>
        </w:tc>
        <w:tc>
          <w:tcPr>
            <w:tcW w:w="76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PRC and other subsidiaries</w:t>
            </w:r>
          </w:p>
        </w:tc>
        <w:tc>
          <w:tcPr>
            <w:tcW w:w="16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​​$133,935,596​​ ​​$123,007,801​</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Ninjas in Pyjamas</w:t>
            </w:r>
          </w:p>
        </w:tc>
        <w:tc>
          <w:tcPr>
            <w:tcW w:w="16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22"/>
                <w:szCs w:val="22"/>
                <w:color w:val="auto"/>
              </w:rPr>
            </w:pPr>
          </w:p>
        </w:tc>
        <w:tc>
          <w:tcPr>
            <w:tcW w:w="1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​190,831,754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6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234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133,935,596</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313,839,555</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-668020</wp:posOffset>
            </wp:positionV>
            <wp:extent cx="410591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intangible assets by segments as of December 31, 2022 and 2023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6"/>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7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CEEFF"/>
          </w:tcPr>
          <w:p>
            <w:pPr>
              <w:spacing w:after="0"/>
              <w:rPr>
                <w:sz w:val="19"/>
                <w:szCs w:val="19"/>
                <w:color w:val="auto"/>
              </w:rPr>
            </w:pPr>
          </w:p>
        </w:tc>
        <w:tc>
          <w:tcPr>
            <w:tcW w:w="17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 and other subsidiaries</w:t>
            </w:r>
          </w:p>
        </w:tc>
        <w:tc>
          <w:tcPr>
            <w:tcW w:w="17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​​$65,382,946​​</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​​$ 60,952,553​</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Ninjas in Pyjamas</w:t>
            </w:r>
          </w:p>
        </w:tc>
        <w:tc>
          <w:tcPr>
            <w:tcW w:w="17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73,016,561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7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65,382,946</w:t>
            </w:r>
            <w:r>
              <w:rPr>
                <w:rFonts w:ascii="Times New Roman" w:cs="Times New Roman" w:eastAsia="Times New Roman" w:hAnsi="Times New Roman"/>
                <w:sz w:val="25"/>
                <w:szCs w:val="25"/>
                <w:b w:val="1"/>
                <w:bCs w:val="1"/>
                <w:color w:val="auto"/>
                <w:vertAlign w:val="subscript"/>
              </w:rPr>
              <w:t>​​</w:t>
            </w:r>
          </w:p>
        </w:tc>
        <w:tc>
          <w:tcPr>
            <w:tcW w:w="112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133,969,114</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-668020</wp:posOffset>
            </wp:positionV>
            <wp:extent cx="411480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goodwill by segments as of December 31, 2022 and 2023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2800" w:type="dxa"/>
            <w:vAlign w:val="bottom"/>
            <w:vMerge w:val="continue"/>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PRC and other subsidiaries</w:t>
            </w:r>
          </w:p>
        </w:tc>
        <w:tc>
          <w:tcPr>
            <w:tcW w:w="232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​​$29,826,958​​</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28,975,408​</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Ninjas in Pyjamas</w:t>
            </w:r>
          </w:p>
        </w:tc>
        <w:tc>
          <w:tcPr>
            <w:tcW w:w="2320" w:type="dxa"/>
            <w:vAlign w:val="bottom"/>
            <w:shd w:val="clear" w:color="auto" w:fill="CCEEFF"/>
          </w:tcPr>
          <w:p>
            <w:pPr>
              <w:spacing w:after="0"/>
              <w:rPr>
                <w:sz w:val="22"/>
                <w:szCs w:val="22"/>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​112,426,919</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320" w:type="dxa"/>
            <w:vAlign w:val="bottom"/>
          </w:tcPr>
          <w:p>
            <w:pPr>
              <w:spacing w:after="0"/>
              <w:rPr>
                <w:sz w:val="20"/>
                <w:szCs w:val="20"/>
                <w:color w:val="auto"/>
              </w:rPr>
            </w:pPr>
          </w:p>
        </w:tc>
        <w:tc>
          <w:tcPr>
            <w:tcW w:w="3980" w:type="dxa"/>
            <w:vAlign w:val="bottom"/>
            <w:gridSpan w:val="11"/>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29,826,958</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141,402,327</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F-37</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-1302385</wp:posOffset>
            </wp:positionV>
            <wp:extent cx="410591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16"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options that are reasonably certain to be exercised or termination options that are reasonably certain not to be exercised by the lessee in the determination of the lease term and initial measurement of right of use assets and lease liabilities.</w:t>
      </w:r>
    </w:p>
    <w:p>
      <w:pPr>
        <w:spacing w:after="0" w:line="159" w:lineRule="exact"/>
        <w:rPr>
          <w:sz w:val="20"/>
          <w:szCs w:val="20"/>
          <w:color w:val="auto"/>
        </w:rPr>
      </w:pPr>
    </w:p>
    <w:p>
      <w:pPr>
        <w:ind w:left="1260" w:right="459" w:firstLine="360"/>
        <w:spacing w:after="0" w:line="297"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136"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As of December 31, 2022 and 2023, the Group had no long-term leases that were classified as a financing lease, and the Group’s lease contracts only contain fixed lease payments and do not contain any residual value guarantee.</w:t>
      </w:r>
    </w:p>
    <w:p>
      <w:pPr>
        <w:spacing w:after="0" w:line="150"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148" w:lineRule="exact"/>
        <w:rPr>
          <w:sz w:val="20"/>
          <w:szCs w:val="20"/>
          <w:color w:val="auto"/>
        </w:rPr>
      </w:pPr>
    </w:p>
    <w:p>
      <w:pPr>
        <w:ind w:left="1260" w:right="1199" w:firstLine="360"/>
        <w:spacing w:after="0" w:line="261"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statements of operations and comprehensive loss is as follows:</w:t>
      </w:r>
    </w:p>
    <w:tbl>
      <w:tblPr>
        <w:tblLayout w:type="fixed"/>
        <w:tblInd w:w="1620" w:type="dxa"/>
        <w:tblCellMar>
          <w:top w:w="0" w:type="dxa"/>
          <w:left w:w="0" w:type="dxa"/>
          <w:bottom w:w="0" w:type="dxa"/>
          <w:right w:w="0" w:type="dxa"/>
        </w:tblCellMar>
      </w:tblPr>
      <w:tr>
        <w:trPr>
          <w:trHeight w:val="365"/>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21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28"/>
                <w:szCs w:val="28"/>
                <w:b w:val="1"/>
                <w:bCs w:val="1"/>
                <w:color w:val="auto"/>
                <w:vertAlign w:val="subscript"/>
              </w:rPr>
              <w:t>​</w:t>
            </w: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gridSpan w:val="2"/>
          </w:tcPr>
          <w:p>
            <w:pPr>
              <w:spacing w:after="0"/>
              <w:rPr>
                <w:sz w:val="20"/>
                <w:szCs w:val="20"/>
                <w:color w:val="auto"/>
              </w:rPr>
            </w:pPr>
          </w:p>
        </w:tc>
        <w:tc>
          <w:tcPr>
            <w:tcW w:w="7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​1,049,031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966,084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$1,365,003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$1,511,250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-213995</wp:posOffset>
            </wp:positionV>
            <wp:extent cx="431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916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1490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218"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72"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$155,783 and $641,400 for the year ended December 31, 2022 and 2023, respectively.</w:t>
      </w:r>
    </w:p>
    <w:p>
      <w:pPr>
        <w:spacing w:after="0" w:line="136" w:lineRule="exact"/>
        <w:rPr>
          <w:sz w:val="20"/>
          <w:szCs w:val="20"/>
          <w:color w:val="auto"/>
        </w:rPr>
      </w:pPr>
    </w:p>
    <w:p>
      <w:pPr>
        <w:ind w:left="1260" w:right="439" w:firstLine="360"/>
        <w:spacing w:after="0" w:line="285" w:lineRule="auto"/>
        <w:rPr>
          <w:sz w:val="20"/>
          <w:szCs w:val="20"/>
          <w:color w:val="auto"/>
        </w:rPr>
      </w:pPr>
      <w:r>
        <w:rPr>
          <w:rFonts w:ascii="Times New Roman" w:cs="Times New Roman" w:eastAsia="Times New Roman" w:hAnsi="Times New Roman"/>
          <w:sz w:val="18"/>
          <w:szCs w:val="18"/>
          <w:color w:val="auto"/>
        </w:rPr>
        <w:t>As of December 31, 2022 and 2023, the weighted average remaining lease term was 6.8 and 4.75 years, and the weighted average discount rate was 4.65% and 4.37% for the Group’s operating leases ,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LEASES —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264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Leases   </w:t>
            </w:r>
            <w:r>
              <w:rPr>
                <w:rFonts w:ascii="Times New Roman" w:cs="Times New Roman" w:eastAsia="Times New Roman" w:hAnsi="Times New Roman"/>
                <w:sz w:val="24"/>
                <w:szCs w:val="24"/>
                <w:b w:val="1"/>
                <w:bCs w:val="1"/>
                <w:color w:val="auto"/>
                <w:vertAlign w:val="subscript"/>
              </w:rPr>
              <w:t>​</w:t>
            </w:r>
          </w:p>
        </w:tc>
      </w:tr>
      <w:tr>
        <w:trPr>
          <w:trHeight w:val="20"/>
        </w:trPr>
        <w:tc>
          <w:tcPr>
            <w:tcW w:w="42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723,875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472,566​</w:t>
            </w:r>
          </w:p>
        </w:tc>
      </w:tr>
      <w:tr>
        <w:trPr>
          <w:trHeight w:val="25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302,672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310,054​</w:t>
            </w:r>
          </w:p>
        </w:tc>
      </w:tr>
      <w:tr>
        <w:trPr>
          <w:trHeight w:val="25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310,054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240" w:type="dxa"/>
            <w:vAlign w:val="bottom"/>
          </w:tcPr>
          <w:p>
            <w:pPr>
              <w:spacing w:after="0"/>
              <w:rPr>
                <w:sz w:val="23"/>
                <w:szCs w:val="23"/>
                <w:color w:val="auto"/>
              </w:rPr>
            </w:pP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236,414</w:t>
            </w:r>
            <w:r>
              <w:rPr>
                <w:rFonts w:ascii="Times New Roman" w:cs="Times New Roman" w:eastAsia="Times New Roman" w:hAnsi="Times New Roman"/>
                <w:sz w:val="31"/>
                <w:szCs w:val="31"/>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​2,355,635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40" w:type="dxa"/>
            <w:vAlign w:val="bottom"/>
          </w:tcPr>
          <w:p>
            <w:pPr>
              <w:spacing w:after="0"/>
              <w:rPr>
                <w:sz w:val="23"/>
                <w:szCs w:val="23"/>
                <w:color w:val="auto"/>
              </w:rPr>
            </w:pP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235,403</w:t>
            </w:r>
            <w:r>
              <w:rPr>
                <w:rFonts w:ascii="Times New Roman" w:cs="Times New Roman" w:eastAsia="Times New Roman" w:hAnsi="Times New Roman"/>
                <w:sz w:val="31"/>
                <w:szCs w:val="31"/>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​2,120,232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40" w:type="dxa"/>
            <w:vAlign w:val="bottom"/>
          </w:tcPr>
          <w:p>
            <w:pPr>
              <w:spacing w:after="0"/>
              <w:rPr>
                <w:sz w:val="23"/>
                <w:szCs w:val="23"/>
                <w:color w:val="auto"/>
              </w:rPr>
            </w:pP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644,858</w:t>
            </w:r>
            <w:r>
              <w:rPr>
                <w:rFonts w:ascii="Times New Roman" w:cs="Times New Roman" w:eastAsia="Times New Roman" w:hAnsi="Times New Roman"/>
                <w:sz w:val="31"/>
                <w:szCs w:val="31"/>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2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1,475,374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2259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2259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-899160</wp:posOffset>
            </wp:positionV>
            <wp:extent cx="42259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-1893570</wp:posOffset>
            </wp:positionV>
            <wp:extent cx="137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w:t>
      </w:r>
    </w:p>
    <w:p>
      <w:pPr>
        <w:spacing w:after="0" w:line="162" w:lineRule="exact"/>
        <w:rPr>
          <w:sz w:val="20"/>
          <w:szCs w:val="20"/>
          <w:color w:val="auto"/>
        </w:rPr>
      </w:pPr>
    </w:p>
    <w:p>
      <w:pPr>
        <w:ind w:left="1260" w:right="1680" w:firstLine="360"/>
        <w:spacing w:after="0" w:line="282" w:lineRule="auto"/>
        <w:rPr>
          <w:sz w:val="20"/>
          <w:szCs w:val="20"/>
          <w:color w:val="auto"/>
        </w:rPr>
      </w:pPr>
      <w:r>
        <w:rPr>
          <w:rFonts w:ascii="Times New Roman" w:cs="Times New Roman" w:eastAsia="Times New Roman" w:hAnsi="Times New Roman"/>
          <w:sz w:val="18"/>
          <w:szCs w:val="18"/>
          <w:color w:val="auto"/>
        </w:rPr>
        <w:t>The Group’s preferred shares activities for the years ended December 31, 2022 and 2023 are summarized below:</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60" w:type="dxa"/>
            <w:vAlign w:val="bottom"/>
          </w:tcPr>
          <w:p>
            <w:pPr>
              <w:spacing w:after="0"/>
              <w:rPr>
                <w:sz w:val="19"/>
                <w:szCs w:val="19"/>
                <w:color w:val="auto"/>
              </w:rPr>
            </w:pPr>
          </w:p>
        </w:tc>
        <w:tc>
          <w:tcPr>
            <w:tcW w:w="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shares</w:t>
            </w:r>
          </w:p>
        </w:tc>
        <w:tc>
          <w:tcPr>
            <w:tcW w:w="1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w:t>
            </w:r>
          </w:p>
        </w:tc>
        <w:tc>
          <w:tcPr>
            <w:tcW w:w="160" w:type="dxa"/>
            <w:vAlign w:val="bottom"/>
          </w:tcPr>
          <w:p>
            <w:pPr>
              <w:spacing w:after="0"/>
              <w:rPr>
                <w:sz w:val="18"/>
                <w:szCs w:val="18"/>
                <w:color w:val="auto"/>
              </w:rPr>
            </w:pPr>
          </w:p>
        </w:tc>
        <w:tc>
          <w:tcPr>
            <w:tcW w:w="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 at January 1, 2022*</w:t>
            </w:r>
          </w:p>
        </w:tc>
        <w:tc>
          <w:tcPr>
            <w:tcW w:w="212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​​​24,709,527​​​​ 80,052,562​​​​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w:t>
            </w:r>
          </w:p>
        </w:tc>
        <w:tc>
          <w:tcPr>
            <w:tcW w:w="2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—​​​​24,709,527​​​​ 80,052,562​</w:t>
            </w:r>
          </w:p>
        </w:tc>
        <w:tc>
          <w:tcPr>
            <w:tcW w:w="60" w:type="dxa"/>
            <w:vAlign w:val="bottom"/>
          </w:tcPr>
          <w:p>
            <w:pPr>
              <w:spacing w:after="0"/>
              <w:rPr>
                <w:sz w:val="19"/>
                <w:szCs w:val="19"/>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Preferred Shares</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960" w:type="dxa"/>
            <w:vAlign w:val="bottom"/>
            <w:gridSpan w:val="3"/>
          </w:tcPr>
          <w:p>
            <w:pPr>
              <w:jc w:val="right"/>
              <w:ind w:right="54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210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2,693,877​​​</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14,780,563​​​</w:t>
            </w:r>
            <w:r>
              <w:rPr>
                <w:rFonts w:ascii="Times New Roman" w:cs="Times New Roman" w:eastAsia="Times New Roman" w:hAnsi="Times New Roman"/>
                <w:sz w:val="17"/>
                <w:szCs w:val="17"/>
                <w:b w:val="1"/>
                <w:bCs w:val="1"/>
                <w:color w:val="auto"/>
              </w:rPr>
              <w:t>​</w:t>
            </w:r>
          </w:p>
        </w:tc>
        <w:tc>
          <w:tcPr>
            <w:tcW w:w="1460" w:type="dxa"/>
            <w:vAlign w:val="bottom"/>
            <w:gridSpan w:val="3"/>
          </w:tcPr>
          <w:p>
            <w:pPr>
              <w:jc w:val="right"/>
              <w:ind w:right="55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2,693,877​​​</w:t>
            </w:r>
            <w:r>
              <w:rPr>
                <w:rFonts w:ascii="Times New Roman" w:cs="Times New Roman" w:eastAsia="Times New Roman" w:hAnsi="Times New Roman"/>
                <w:sz w:val="17"/>
                <w:szCs w:val="17"/>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14,780,563​</w:t>
            </w:r>
          </w:p>
        </w:tc>
      </w:tr>
      <w:tr>
        <w:trPr>
          <w:trHeight w:val="23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on Preferred Shares to</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1"/>
        </w:trPr>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13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24,022,305​​​</w:t>
            </w:r>
            <w:r>
              <w:rPr>
                <w:rFonts w:ascii="Times New Roman" w:cs="Times New Roman" w:eastAsia="Times New Roman" w:hAnsi="Times New Roman"/>
                <w:sz w:val="17"/>
                <w:szCs w:val="17"/>
                <w:b w:val="1"/>
                <w:bCs w:val="1"/>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1,274,569​​​</w:t>
            </w:r>
            <w:r>
              <w:rPr>
                <w:rFonts w:ascii="Times New Roman" w:cs="Times New Roman" w:eastAsia="Times New Roman" w:hAnsi="Times New Roman"/>
                <w:sz w:val="17"/>
                <w:szCs w:val="17"/>
                <w:b w:val="1"/>
                <w:bCs w:val="1"/>
                <w:color w:val="auto"/>
              </w:rPr>
              <w:t>​</w:t>
            </w:r>
          </w:p>
        </w:tc>
        <w:tc>
          <w:tcPr>
            <w:tcW w:w="1460" w:type="dxa"/>
            <w:vAlign w:val="bottom"/>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4"/>
              </w:rPr>
              <w:t>25,296,874​</w:t>
            </w:r>
          </w:p>
        </w:tc>
        <w:tc>
          <w:tcPr>
            <w:tcW w:w="60" w:type="dxa"/>
            <w:vAlign w:val="bottom"/>
          </w:tcPr>
          <w:p>
            <w:pPr>
              <w:spacing w:after="0"/>
              <w:rPr>
                <w:sz w:val="19"/>
                <w:szCs w:val="19"/>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Exchange rate difference</w:t>
            </w:r>
          </w:p>
        </w:tc>
        <w:tc>
          <w:tcPr>
            <w:tcW w:w="18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 (6,674,474) ​</w:t>
            </w:r>
          </w:p>
        </w:tc>
        <w:tc>
          <w:tcPr>
            <w:tcW w:w="58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68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(6,667,292)</w:t>
            </w:r>
          </w:p>
        </w:tc>
      </w:tr>
      <w:tr>
        <w:trPr>
          <w:trHeight w:val="68"/>
        </w:trPr>
        <w:tc>
          <w:tcPr>
            <w:tcW w:w="2400" w:type="dxa"/>
            <w:vAlign w:val="bottom"/>
          </w:tcPr>
          <w:p>
            <w:pPr>
              <w:spacing w:after="0"/>
              <w:rPr>
                <w:sz w:val="5"/>
                <w:szCs w:val="5"/>
                <w:color w:val="auto"/>
              </w:rPr>
            </w:pPr>
          </w:p>
        </w:tc>
        <w:tc>
          <w:tcPr>
            <w:tcW w:w="760" w:type="dxa"/>
            <w:vAlign w:val="bottom"/>
            <w:gridSpan w:val="2"/>
          </w:tcPr>
          <w:p>
            <w:pPr>
              <w:ind w:left="10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780" w:type="dxa"/>
            <w:vAlign w:val="bottom"/>
            <w:gridSpan w:val="2"/>
          </w:tcPr>
          <w:p>
            <w:pPr>
              <w:jc w:val="right"/>
              <w:ind w:right="542"/>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800" w:type="dxa"/>
            <w:vAlign w:val="bottom"/>
            <w:gridSpan w:val="2"/>
          </w:tcPr>
          <w:p>
            <w:pPr>
              <w:jc w:val="right"/>
              <w:ind w:right="556"/>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5"/>
                <w:szCs w:val="5"/>
                <w:color w:val="auto"/>
              </w:rPr>
            </w:pPr>
          </w:p>
        </w:tc>
        <w:tc>
          <w:tcPr>
            <w:tcW w:w="200" w:type="dxa"/>
            <w:vAlign w:val="bottom"/>
            <w:gridSpan w:val="2"/>
          </w:tcPr>
          <w:p>
            <w:pPr>
              <w:jc w:val="center"/>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24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 at December 31, 2022*</w:t>
            </w:r>
          </w:p>
        </w:tc>
        <w:tc>
          <w:tcPr>
            <w:tcW w:w="382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​​​24,709,527​​​​ 97,400,393​​​​2,693,877​​​​16,062,314​​​​</w:t>
            </w:r>
          </w:p>
        </w:tc>
        <w:tc>
          <w:tcPr>
            <w:tcW w:w="1460" w:type="dxa"/>
            <w:vAlign w:val="bottom"/>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w:t>
            </w:r>
          </w:p>
        </w:tc>
        <w:tc>
          <w:tcPr>
            <w:tcW w:w="2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—​​​​27,403,404​​​​113,462,707​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-153670</wp:posOffset>
            </wp:positionV>
            <wp:extent cx="768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-153670</wp:posOffset>
            </wp:positionV>
            <wp:extent cx="774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-153670</wp:posOffset>
            </wp:positionV>
            <wp:extent cx="7683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-153670</wp:posOffset>
            </wp:positionV>
            <wp:extent cx="768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-153670</wp:posOffset>
            </wp:positionV>
            <wp:extent cx="7747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-153670</wp:posOffset>
            </wp:positionV>
            <wp:extent cx="7683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-153670</wp:posOffset>
            </wp:positionV>
            <wp:extent cx="220281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-916305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-916305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-916305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-916305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-916305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-916305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-916305</wp:posOffset>
            </wp:positionV>
            <wp:extent cx="21945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Acquisition of Ninjas in</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Pyjamas</w:t>
      </w:r>
    </w:p>
    <w:p>
      <w:pPr>
        <w:spacing w:after="0" w:line="46" w:lineRule="exact"/>
        <w:rPr>
          <w:sz w:val="20"/>
          <w:szCs w:val="20"/>
          <w:color w:val="auto"/>
        </w:rPr>
      </w:pPr>
    </w:p>
    <w:p>
      <w:pPr>
        <w:ind w:left="660" w:hanging="166"/>
        <w:spacing w:after="0" w:line="275" w:lineRule="auto"/>
        <w:rPr>
          <w:sz w:val="20"/>
          <w:szCs w:val="20"/>
          <w:color w:val="auto"/>
        </w:rPr>
      </w:pPr>
      <w:r>
        <w:rPr>
          <w:rFonts w:ascii="Times New Roman" w:cs="Times New Roman" w:eastAsia="Times New Roman" w:hAnsi="Times New Roman"/>
          <w:sz w:val="17"/>
          <w:szCs w:val="17"/>
          <w:color w:val="auto"/>
        </w:rPr>
        <w:t>Accretion on Preferred Shares to redemption value</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Exchange rate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24765</wp:posOffset>
            </wp:positionV>
            <wp:extent cx="16459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4420" w:type="dxa"/>
            <w:vAlign w:val="bottom"/>
            <w:gridSpan w:val="14"/>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43,044,524​​​</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168,000,000​​​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43,044,524​​​</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168,000,000​</w:t>
            </w:r>
          </w:p>
        </w:tc>
      </w:tr>
      <w:tr>
        <w:trPr>
          <w:trHeight w:val="459"/>
        </w:trPr>
        <w:tc>
          <w:tcPr>
            <w:tcW w:w="40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180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20,327,824​​​</w:t>
            </w:r>
            <w:r>
              <w:rPr>
                <w:rFonts w:ascii="Times New Roman" w:cs="Times New Roman" w:eastAsia="Times New Roman" w:hAnsi="Times New Roman"/>
                <w:sz w:val="17"/>
                <w:szCs w:val="17"/>
                <w:b w:val="1"/>
                <w:bCs w:val="1"/>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704,422​​​</w:t>
            </w:r>
            <w:r>
              <w:rPr>
                <w:rFonts w:ascii="Times New Roman" w:cs="Times New Roman" w:eastAsia="Times New Roman" w:hAnsi="Times New Roman"/>
                <w:sz w:val="17"/>
                <w:szCs w:val="17"/>
                <w:b w:val="1"/>
                <w:bCs w:val="1"/>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22,882,461​​​</w:t>
            </w:r>
            <w:r>
              <w:rPr>
                <w:rFonts w:ascii="Times New Roman" w:cs="Times New Roman" w:eastAsia="Times New Roman" w:hAnsi="Times New Roman"/>
                <w:sz w:val="17"/>
                <w:szCs w:val="17"/>
                <w:b w:val="1"/>
                <w:bCs w:val="1"/>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43,914,707​</w:t>
            </w:r>
          </w:p>
        </w:tc>
      </w:tr>
      <w:tr>
        <w:trPr>
          <w:trHeight w:val="206"/>
        </w:trPr>
        <w:tc>
          <w:tcPr>
            <w:tcW w:w="80" w:type="dxa"/>
            <w:vAlign w:val="bottom"/>
          </w:tcPr>
          <w:p>
            <w:pPr>
              <w:spacing w:after="0"/>
              <w:rPr>
                <w:sz w:val="17"/>
                <w:szCs w:val="17"/>
                <w:color w:val="auto"/>
              </w:rPr>
            </w:pPr>
          </w:p>
        </w:tc>
        <w:tc>
          <w:tcPr>
            <w:tcW w:w="3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color w:val="auto"/>
              </w:rPr>
              <w:t>—  ​ (2,835,151) ​</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(2,835,151)</w:t>
            </w:r>
          </w:p>
        </w:tc>
      </w:tr>
      <w:tr>
        <w:trPr>
          <w:trHeight w:val="68"/>
        </w:trPr>
        <w:tc>
          <w:tcPr>
            <w:tcW w:w="400" w:type="dxa"/>
            <w:vAlign w:val="bottom"/>
            <w:gridSpan w:val="2"/>
          </w:tcPr>
          <w:p>
            <w:pPr>
              <w:jc w:val="right"/>
              <w:ind w:right="196"/>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480" w:type="dxa"/>
            <w:vAlign w:val="bottom"/>
            <w:gridSpan w:val="2"/>
          </w:tcPr>
          <w:p>
            <w:pPr>
              <w:jc w:val="right"/>
              <w:ind w:right="32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400" w:type="dxa"/>
            <w:vAlign w:val="bottom"/>
            <w:gridSpan w:val="2"/>
          </w:tcPr>
          <w:p>
            <w:pPr>
              <w:jc w:val="right"/>
              <w:ind w:right="24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spacing w:after="0"/>
              <w:rPr>
                <w:sz w:val="5"/>
                <w:szCs w:val="5"/>
                <w:color w:val="auto"/>
              </w:rPr>
            </w:pPr>
          </w:p>
        </w:tc>
        <w:tc>
          <w:tcPr>
            <w:tcW w:w="460" w:type="dxa"/>
            <w:vAlign w:val="bottom"/>
            <w:gridSpan w:val="2"/>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20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760" w:type="dxa"/>
            <w:vAlign w:val="bottom"/>
          </w:tcPr>
          <w:p>
            <w:pPr>
              <w:spacing w:after="0"/>
              <w:rPr>
                <w:sz w:val="5"/>
                <w:szCs w:val="5"/>
                <w:color w:val="auto"/>
              </w:rPr>
            </w:pPr>
          </w:p>
        </w:tc>
        <w:tc>
          <w:tcPr>
            <w:tcW w:w="460" w:type="dxa"/>
            <w:vAlign w:val="bottom"/>
            <w:gridSpan w:val="2"/>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20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-471170</wp:posOffset>
            </wp:positionV>
            <wp:extent cx="6180455" cy="291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180455" cy="29146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-8255</wp:posOffset>
            </wp:positionV>
            <wp:extent cx="7683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-8255</wp:posOffset>
            </wp:positionV>
            <wp:extent cx="774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-8255</wp:posOffset>
            </wp:positionV>
            <wp:extent cx="768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-8255</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-8255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-8255</wp:posOffset>
            </wp:positionV>
            <wp:extent cx="7683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-8255</wp:posOffset>
            </wp:positionV>
            <wp:extent cx="7683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00" w:space="200"/>
            <w:col w:w="7280"/>
          </w:cols>
          <w:pgMar w:left="580" w:top="97" w:right="1039" w:bottom="1440" w:gutter="0" w:footer="0" w:header="0"/>
          <w:type w:val="continuous"/>
        </w:sectPr>
      </w:pPr>
    </w:p>
    <w:p>
      <w:pPr>
        <w:ind w:left="500"/>
        <w:spacing w:after="0" w:line="185" w:lineRule="auto"/>
        <w:tabs>
          <w:tab w:leader="none" w:pos="2980" w:val="left"/>
        </w:tabs>
        <w:rPr>
          <w:sz w:val="20"/>
          <w:szCs w:val="20"/>
          <w:color w:val="auto"/>
        </w:rPr>
      </w:pPr>
      <w:r>
        <w:rPr>
          <w:rFonts w:ascii="Times New Roman" w:cs="Times New Roman" w:eastAsia="Times New Roman" w:hAnsi="Times New Roman"/>
          <w:sz w:val="17"/>
          <w:szCs w:val="17"/>
          <w:b w:val="1"/>
          <w:bCs w:val="1"/>
          <w:color w:val="auto"/>
          <w:shd w:val="clear" w:color="auto" w:fill="CCEEFF"/>
        </w:rPr>
        <w:t>Balances at December 31, 2023*</w:t>
      </w:r>
      <w:r>
        <w:rPr>
          <w:sz w:val="20"/>
          <w:szCs w:val="20"/>
          <w:color w:val="auto"/>
        </w:rPr>
        <w:tab/>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33"/>
          <w:szCs w:val="33"/>
          <w:b w:val="1"/>
          <w:bCs w:val="1"/>
          <w:color w:val="auto"/>
          <w:shd w:val="clear" w:color="auto" w:fill="CCEEFF"/>
        </w:rPr>
        <w:t>​24,709,527</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​114,893,066</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​2,693,877</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​16,766,736</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​43,044,524</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​190,882,461</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​70,447,928</w:t>
      </w:r>
      <w:r>
        <w:rPr>
          <w:rFonts w:ascii="Times New Roman" w:cs="Times New Roman" w:eastAsia="Times New Roman" w:hAnsi="Times New Roman"/>
          <w:sz w:val="33"/>
          <w:szCs w:val="33"/>
          <w:color w:val="auto"/>
          <w:vertAlign w:val="subscript"/>
          <w:shd w:val="clear" w:color="auto" w:fill="CCEEFF"/>
        </w:rPr>
        <w:t>​​​​</w:t>
      </w:r>
      <w:r>
        <w:rPr>
          <w:rFonts w:ascii="Times New Roman" w:cs="Times New Roman" w:eastAsia="Times New Roman" w:hAnsi="Times New Roman"/>
          <w:sz w:val="16"/>
          <w:szCs w:val="16"/>
          <w:b w:val="1"/>
          <w:bCs w:val="1"/>
          <w:color w:val="auto"/>
          <w:shd w:val="clear" w:color="auto" w:fill="CCEEFF"/>
        </w:rPr>
        <w:t>​322,542,263</w:t>
      </w:r>
      <w:r>
        <w:rPr>
          <w:rFonts w:ascii="Times New Roman" w:cs="Times New Roman" w:eastAsia="Times New Roman" w:hAnsi="Times New Roman"/>
          <w:sz w:val="33"/>
          <w:szCs w:val="3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620" w:hanging="360"/>
        <w:spacing w:after="0"/>
        <w:tabs>
          <w:tab w:leader="none" w:pos="16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presented on a retroactive basis to reflect the stock split (Note 14)</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Class A redeemable preferred shares</w:t>
      </w:r>
    </w:p>
    <w:p>
      <w:pPr>
        <w:spacing w:after="0" w:line="148" w:lineRule="exact"/>
        <w:rPr>
          <w:sz w:val="20"/>
          <w:szCs w:val="20"/>
          <w:color w:val="auto"/>
        </w:rPr>
      </w:pPr>
    </w:p>
    <w:p>
      <w:pPr>
        <w:ind w:left="1260" w:right="1800" w:firstLine="360"/>
        <w:spacing w:after="0" w:line="282" w:lineRule="auto"/>
        <w:rPr>
          <w:sz w:val="20"/>
          <w:szCs w:val="20"/>
          <w:color w:val="auto"/>
        </w:rPr>
      </w:pPr>
      <w:r>
        <w:rPr>
          <w:rFonts w:ascii="Times New Roman" w:cs="Times New Roman" w:eastAsia="Times New Roman" w:hAnsi="Times New Roman"/>
          <w:sz w:val="18"/>
          <w:szCs w:val="18"/>
          <w:color w:val="auto"/>
        </w:rPr>
        <w:t>During fiscal year 2019, Shenzhen VF issued a total of 8,199,662 preferred shares for cash consideration of US$15,923,336.</w:t>
      </w:r>
    </w:p>
    <w:p>
      <w:pPr>
        <w:sectPr>
          <w:pgSz w:w="11900" w:h="16838" w:orient="portrait"/>
          <w:cols w:equalWidth="0" w:num="1">
            <w:col w:w="10280"/>
          </w:cols>
          <w:pgMar w:left="580" w:top="97" w:right="1039" w:bottom="1440" w:gutter="0" w:footer="0" w:header="0"/>
          <w:type w:val="continuous"/>
        </w:sectPr>
      </w:pPr>
    </w:p>
    <w:p>
      <w:pPr>
        <w:spacing w:after="0" w:line="3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 — (continued)</w:t>
      </w:r>
    </w:p>
    <w:p>
      <w:pPr>
        <w:spacing w:after="0" w:line="22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During the Reverse Acquisition, each preferred shareholder of Shenzhen VF was changed to the preferred shareholder of Wuhan ESVF, certain redemption features and liquidation preference were modified simultaneously (“Modification”). Meanwhile, 15,764,427 preferred shares issued by Wuhan ESVF with carrying value of US$37,448,928 at the close of Reverse Acquisition was included in the consolidated balance sheets.</w:t>
      </w:r>
    </w:p>
    <w:p>
      <w:pPr>
        <w:spacing w:after="0" w:line="3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Group had undergone a Reorganization on July 30, 2021. As part of the Reorganization, on June 8, 2021, each issuer of the preferred shares was changed to the reporting entity through share swaps. The major terms and number of shares of the preferred shares remained the same. Thus, there is no accounting impact on the preferred shares as a result of the Reorganization at the consolidated level. The Group determined all the preferred shares was re -designed as Class A preferred shares. Since the Reorganization were transactions under common control, the equity section of the Group after the Reorganization was assumed to have existed from the earliest period presented in the consolidated financial statements.</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September 30, 2021, the Company issued 745,438 Class A preferred shares to Shenzhen Media Group (International) Limited (“Shenzhen Media- HK”) for a total investment amount in the U.S. dollar equivalent amount of RMB 10 million. The terms of the Class A preferred shares issued to Shenzhen Media-HK were same as the terms of the Class A preferred shares after the reorganization as mentioned above.</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Below presents the key original and amended terms of the Class A redeemable preferred shares during the reporting period: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There were no conversion rights granted to holders of preferred shares upon the issuance of the preferred shares to preferred shareholders of Shenzhen VF or on the Reverse Acquisition.</w:t>
      </w:r>
    </w:p>
    <w:p>
      <w:pPr>
        <w:spacing w:after="0" w:line="95"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Along with the Reorganization on July 30, 2021, as stated in the amended Article of Association, all outstanding preferred shares can be automatically converted into ordinary shares of the Company after its listing in US capital market.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holder of preferred shares before and after the Reverse Acquisition and is entitled to vote together with the holders of ordinary shares on all matters submitted to a vote of the shareholders of the company or the group on an as-if-converted basis.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Each holder of preferred shares before and after the Reverse Acquisition is entitled to receive non-cumulative dividends, payable out of funds or assets when and as such funds or assets become legally available therefor pari passum with ordinary shares, on an as-converted basis, when, as, and if declared by the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issuer, or in the event of a trade sale (include, among other things, a merger, share exchange, amalgamation or consolidation resulting in a change of control), collectively defined as “Deemed Liquidation Events”, all assets and funds legally available for distribution to the members (after satisfaction of all creditors’ claims and claims that may be preferred by law) shall be distributed to the holders of the preferred shares prior and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 — (continued)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preference to any distribution to the investors of any other class, an amount shall be the higher of</w:t>
      </w:r>
    </w:p>
    <w:p>
      <w:pPr>
        <w:spacing w:after="0" w:line="25" w:lineRule="exact"/>
        <w:rPr>
          <w:sz w:val="20"/>
          <w:szCs w:val="20"/>
          <w:color w:val="auto"/>
        </w:rPr>
      </w:pPr>
    </w:p>
    <w:p>
      <w:pPr>
        <w:ind w:left="1480" w:hanging="220"/>
        <w:spacing w:after="0"/>
        <w:tabs>
          <w:tab w:leader="none" w:pos="14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preferred shares issuance price plus accrued daily interest at a rate of 8% per annum; and</w:t>
      </w:r>
    </w:p>
    <w:p>
      <w:pPr>
        <w:ind w:left="1260" w:right="999"/>
        <w:spacing w:after="0" w:line="243" w:lineRule="auto"/>
        <w:tabs>
          <w:tab w:leader="none" w:pos="154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rata basis, percentage of each shareholders held multiplying with net assets available for distribution (collectively the “Preferred Shares Preference Amount”).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in Liquidation Preferences</w:t>
      </w:r>
    </w:p>
    <w:p>
      <w:pPr>
        <w:spacing w:after="0" w:line="14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During the Reverse Acquisition, the Preferred Shares Preference Amount was amended to an amount equal to 100% of the preferred shares issue price, and the following terms were added.</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there are any assets or funds remaining after the Preferred Shares Preference Amount has been distributed or paid in full to the applicable holders of the preferred shares, the remaining assets and funds of the Group company available for distribution shall be distributed ratably among all members according to the relative number held by such member (including preferred shares on as-converted basis).</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the Preferred Shares Preference Amount cannot be paid in full, the holders of the preferred shares shall be entitled to the payment in proportion to their initial investment amount. If all assets and funds of the company legally available for distribution to the members upon liquidation, dissolution or winding up of the company exceed RMB 2 billion, the distribution shall be ratably among all members according to the relative number of ordinary shares held by such member (treating all outstanding preferred shares on as-converted basis).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preferred shares can be redeemed at any time and from time to time on or after the earlier date of the occurrence of (1) the issuer’s failure to complete the transaction as mutually agreed in the Preferred Share Purchase Agreement, or (2) (i) the issuer fails to obtain an receipt from the China Securities Regulatory Commission, the Hong Kong Securities Regulatory Commission, the SEC or any other exchange of recognized international reputation and standing duly approved by the shareholders (“Qualified Exchange”) accepting the Company’s application for IPO by January 31 2024; or (ii) the Company fails to achieve the IPO on a Qualified Exchange on or before 31 January 2025, or (3) a material breach of any of the warranties, undertakings or covenants specified under the Preferred Share Purchase Agreement or certain other agreements entered into in connection with such preferred shares financing.</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Upon the occurrence of any Redemption Event, each holder of the then outstanding preferred shares is entitled to, by written request to the Company, request the Company to redeem all or part of the preferred shares then outstanding held by such holder at a redemption price (higher of (i) 100% of the preferred shares issue price plus accrued daily interest at a rate of 8% per annum minus any declared but unpaid dividends on such preferred shares; (ii) % of shareholding multiplying with the company’s most recent fair value of net assets).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in Redemption Rights</w:t>
      </w:r>
    </w:p>
    <w:p>
      <w:pPr>
        <w:spacing w:after="0" w:line="14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the Reverse Acquisition, the events that triggered the redemption of any of the preferred shares has been amended to the same term, where the preferred shares can be redeemed at any time of the occurrence of a material breach of any of the warranties, undertakings or covenants specified under the New Preferred Share Purchase Agreement (the “New Preferred Share Purchase Agreement”) or certain other agreements entered into in connection with such preferred shares financing.</w:t>
      </w:r>
    </w:p>
    <w:p>
      <w:pPr>
        <w:spacing w:after="0" w:line="11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redemption price for each preferred share that is redeemed has been amended to the same price, which shall be the higher of (a) an amount equal to 100% of such preferred shares issuance price plus accrued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 — (continued)</w:t>
      </w:r>
    </w:p>
    <w:p>
      <w:pPr>
        <w:spacing w:after="0" w:line="229" w:lineRule="exact"/>
        <w:rPr>
          <w:sz w:val="20"/>
          <w:szCs w:val="20"/>
          <w:color w:val="auto"/>
        </w:rPr>
      </w:pPr>
    </w:p>
    <w:p>
      <w:pPr>
        <w:ind w:left="1260" w:right="439"/>
        <w:spacing w:after="0" w:line="281" w:lineRule="auto"/>
        <w:rPr>
          <w:sz w:val="20"/>
          <w:szCs w:val="20"/>
          <w:color w:val="auto"/>
        </w:rPr>
      </w:pPr>
      <w:r>
        <w:rPr>
          <w:rFonts w:ascii="Times New Roman" w:cs="Times New Roman" w:eastAsia="Times New Roman" w:hAnsi="Times New Roman"/>
          <w:sz w:val="18"/>
          <w:szCs w:val="18"/>
          <w:color w:val="auto"/>
        </w:rPr>
        <w:t>daily interest at a simple rate of 8% per annum, and any accrued or declared but unpaid dividend on such preferred shares, and (b) the result of multiplying the as-converted shareholding percentage with the issuer’s most recent fair value of net assets.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Class B redeemable preferred shares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On May 23, 2022, the Group entered into a share subscription purchase agreement with Digital WD., Ltd. (“Digital WD”). On September 5, 2022, the Group issued 1,718,691 Class B Preferred Shares to Digital WD, for an aggregate purchase price of $10,000,000.</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July 29, 2022, the Group entered into a subscription agreement with Maison Investment Holding Limited (“Maison”), a third-party investor, to sell 459,578 of the Company’s Class B preferred shares to Maison in exchange of $2,674,000 cash consideration. The Group has received the full investment fund of $2,673,970 (after deduction of commission charges) from Maison in advance as of September 30, 2022 and recorded as subscription fees advance from shareholder, and thereafter recognized as equity when the Group completed the issuance of 459,578 Class B preferred shares on December 20, 2022.</w:t>
      </w:r>
    </w:p>
    <w:p>
      <w:pPr>
        <w:spacing w:after="0" w:line="109"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On July 29, 2022, the Group entered into a subscription agreement with AER Capital SPC (“AER”), to sell 515,608 of the Company’s Class B preferred shares to Maison in exchange of $3,000,000 cash consideration. As of December 31, 2022, the Group accounted the fund receivable from AER as shareholder investment fund receivable included in balance statement item prepaid expenses and other current assets, net (Note 5). In March 2023, the Group has received the full investment fund from AER.</w:t>
      </w:r>
    </w:p>
    <w:p>
      <w:pPr>
        <w:spacing w:after="0" w:line="105"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Below presents the key original and amended terms of the Class B redeemable preferred shares during the reporting period:</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Upon any liquidation event, all assets and funds of the Company thereafter legally available for distribution to the shareholders shall be distributed as follows: After any distribution or payment to the Class B-1 Preferred Shares held by all former shareholders of Ninjas in Pyjamas, and prior to any distribution or payment to the Class A preferred shareholders and the Ordinary shareholders, each Class B preferred shareholder shall be entitled to receive on a pro rata basis, an amount equal to the aggregate total of the initial subscription price with respect to each preferred share held by such Class B preferred shareholder.</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48"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If the Company is unable to settle the redemption obligations to the redemption shareholders in full, all available redemption funds shall be paid first to the Class B preferred shareholders on a pro-rata basis. The redemption price of Class B Preferred Share calculation is same as Class A preferred shares. The other terms of the Class B Preferred Shares issued were same as the terms of the Class A preferred shares.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Class B-1 redeemable preferred shares</w:t>
      </w:r>
    </w:p>
    <w:p>
      <w:pPr>
        <w:spacing w:after="0" w:line="162"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On January 10, 2023, the Company completed an acquisition through a series of agreements with the shareholders of Ninjas in Pyjamas. The Company issued to Ninjas in Pyjamas former shareholders 43,044,524 Class B-1 Preferred Shares in exchange of 100% shares in Ninjas in Pyjamas (Note 1).</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Below presents the key terms of the Class B-1 redeemable preferred shares during the reporting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 —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In the case of a NIP redemption trigger event, Ninjas in Pyjamas former shareholders entitle to request the Company to redeem Class B-1 Preferred Shares held by them, and the Founder Shareholders (“Mario Ho Holdings Limited, xiaOt Sun Holdings Limited, Ayisia Zhou Holdings Limited and RayZ Holdings Limited”) shall be jointly and severally liable to take all necessary actions permissible under applicable laws to procure that the Company shall have the required funding. The terms of NIP redemption trigger event include:</w:t>
      </w:r>
    </w:p>
    <w:p>
      <w:pPr>
        <w:spacing w:after="0" w:line="336" w:lineRule="exact"/>
        <w:rPr>
          <w:sz w:val="20"/>
          <w:szCs w:val="20"/>
          <w:color w:val="auto"/>
        </w:rPr>
      </w:pPr>
    </w:p>
    <w:p>
      <w:pPr>
        <w:ind w:left="1980" w:right="479" w:hanging="360"/>
        <w:spacing w:after="0" w:line="258" w:lineRule="auto"/>
        <w:tabs>
          <w:tab w:leader="none" w:pos="1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fails to obtain a receipt from the China Securities Regulatory Commission, the Hong Kong Securities Regulatory Commission, the SEC or any other exchange of recognized international reputation and standing duly approved by shareholders accepting the Company’s application for IPO by January 31, 2024; or (ii) the Company fails to achieve the IPO on or before January 31, 2025 based on a pre-money valuation of the Company exceeding US$100,000,000;</w:t>
      </w:r>
    </w:p>
    <w:p>
      <w:pPr>
        <w:spacing w:after="0" w:line="115"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the Company, as determined by an independent valuer, does not exceed USD 250 million by December 31, 2023;</w:t>
      </w:r>
    </w:p>
    <w:p>
      <w:pPr>
        <w:spacing w:after="0" w:line="94" w:lineRule="exact"/>
        <w:rPr>
          <w:rFonts w:ascii="Times New Roman" w:cs="Times New Roman" w:eastAsia="Times New Roman" w:hAnsi="Times New Roman"/>
          <w:sz w:val="18"/>
          <w:szCs w:val="18"/>
          <w:color w:val="auto"/>
        </w:rPr>
      </w:pPr>
    </w:p>
    <w:p>
      <w:pPr>
        <w:jc w:val="both"/>
        <w:ind w:left="1980" w:right="519" w:hanging="360"/>
        <w:spacing w:after="0" w:line="261" w:lineRule="auto"/>
        <w:tabs>
          <w:tab w:leader="none" w:pos="1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 to obtain the formal league approvals for the change of ownership in respect of the league slots related to League of Legends LOL, Honor of Kings and/or CrossFire Pro League, which results in the loss or suspension of any of such league slots or otherwise materially impacts the financial performance of the Group;</w:t>
      </w:r>
    </w:p>
    <w:p>
      <w:pPr>
        <w:spacing w:after="0" w:line="98"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restructuring plan or the failure of the Company to implement the dismantling of its VIE structure in accordance with the Restructuring Plan has resulted in or might reasonably be expected to material impact on the financial performance of the Group;</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Company’s revenue for the year ended December 31, 2022 based on the audit by an independent certified public accounting firm of internationally recognized standing according to the US GAAP for the purpose of the application for IPO is lower than USD 41,400,000.</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2023, redemption trigger event c, d and e have been determined to be satisfied.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the above terms of NIP redemption trigger event, others redemption terms of Class B-1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Shares were similar with Class A and Class B Preferred Shares:</w:t>
      </w:r>
    </w:p>
    <w:p>
      <w:pPr>
        <w:spacing w:after="0" w:line="126"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the case of a NIP special redemption trigger event, the Founder Shareholders entitle to request the Company to redeem Class B-1 Preferred Shares held by Ninjas in Pyjamas former shareholders. The terms of NIP special redemption trigger event include:</w:t>
      </w:r>
    </w:p>
    <w:p>
      <w:pPr>
        <w:spacing w:after="0" w:line="108" w:lineRule="exact"/>
        <w:rPr>
          <w:sz w:val="20"/>
          <w:szCs w:val="20"/>
          <w:color w:val="auto"/>
        </w:rPr>
      </w:pPr>
    </w:p>
    <w:p>
      <w:pPr>
        <w:ind w:left="1980" w:right="599" w:hanging="360"/>
        <w:spacing w:after="0" w:line="282" w:lineRule="auto"/>
        <w:tabs>
          <w:tab w:leader="none" w:pos="19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any of the Ninjas in Pyjamas former shareholders of its obligations under the shareholders agreement;</w:t>
      </w:r>
    </w:p>
    <w:p>
      <w:pPr>
        <w:spacing w:after="0" w:line="94" w:lineRule="exact"/>
        <w:rPr>
          <w:rFonts w:ascii="Times New Roman" w:cs="Times New Roman" w:eastAsia="Times New Roman" w:hAnsi="Times New Roman"/>
          <w:sz w:val="18"/>
          <w:szCs w:val="18"/>
          <w:color w:val="auto"/>
        </w:rPr>
      </w:pPr>
    </w:p>
    <w:p>
      <w:pPr>
        <w:jc w:val="both"/>
        <w:ind w:left="1980" w:right="539" w:hanging="360"/>
        <w:spacing w:after="0" w:line="266" w:lineRule="auto"/>
        <w:tabs>
          <w:tab w:leader="none" w:pos="19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Ninjas in Pyjamas conducting any off-account sales and causing material impacts on the financial performance of the Group and damage to the interests of the Group or any preferred shareholders accordingly;</w:t>
      </w:r>
    </w:p>
    <w:p>
      <w:pPr>
        <w:spacing w:after="0" w:line="108"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applicable laws by the operation of Ninjas in Pyjamas which in turn materially impacts the financial performance of the Group;</w:t>
      </w:r>
    </w:p>
    <w:p>
      <w:pPr>
        <w:spacing w:after="0" w:line="80"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whole or a substantial part of the business, undertaking, property or assets of the Ninjas in Pyjamas without the requisite approvals by the board and/or the shareholders;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MEZZANINE EQUITY — (continued)</w:t>
      </w:r>
    </w:p>
    <w:p>
      <w:pPr>
        <w:spacing w:after="0" w:line="202" w:lineRule="exact"/>
        <w:rPr>
          <w:rFonts w:ascii="Times New Roman" w:cs="Times New Roman" w:eastAsia="Times New Roman" w:hAnsi="Times New Roman"/>
          <w:sz w:val="18"/>
          <w:szCs w:val="18"/>
          <w:b w:val="1"/>
          <w:bCs w:val="1"/>
          <w:color w:val="auto"/>
        </w:rPr>
      </w:pPr>
    </w:p>
    <w:p>
      <w:pPr>
        <w:ind w:left="1980" w:right="739" w:hanging="360"/>
        <w:spacing w:after="0" w:line="266" w:lineRule="auto"/>
        <w:tabs>
          <w:tab w:leader="none" w:pos="1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dishonesty, fraud, willful default, or gross negligence committed by any Ninjas in Pyjamas former shareholders which in turn materially impacts the financial performance of the Group;</w:t>
      </w:r>
    </w:p>
    <w:p>
      <w:pPr>
        <w:spacing w:after="0" w:line="94"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Ninjas in Pyjamas fails to acquire 51% or more of the total issued shares of (i) anyone of appointed target companies, or (ii) any other target company engaging in similar type of business, having a projected annual revenue of not less than the agreed upon amount in the financial year of 2023, by no later than December 31, 2023; or (B) the equity ratio of the former shareholders of the Company have been diluted due to the implementation of the aforesaid acquisition (unless such dilution has been agreed by the former shareholders of the Company).</w:t>
      </w:r>
    </w:p>
    <w:p>
      <w:pPr>
        <w:spacing w:after="0" w:line="12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total redemption price for all Class B-1 Preferred Shares requested for redemption by the Company (the “NIP Redemption Price”) shall be equivalent to the then net asset value (shall be “equity fair value” base on practical expedient provided by an independent valuer) of all Ninjas in Pyjamas in aggregate as of the redemption date. Payment of the NIP Redemption Price shall be settled by way of redemption in kind of all the shares held by the Company in the Ninjas in Pyjamas to the Ninjas in Pyjamas former shareholders. For the avoidance of doubt, the Ninjas in Pyjamas share distribution constitutes full settlement of the NIP Redemption Price, and no cash, other assets or funds of the Company shall be payable by the Company whatsoever to satisfy the payment of the NIP Redemption Price.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Upon any liquidation, the Company shall redeem all of the outstanding Class B-1 Preferred Shares held by all Ninjas in Pyjamas former shareholders at NIP Redemption Price. All assets and funds of the Company thereafter legally available for distribution to the remaining Shareholders shall be distributed to Ninjas in Pyjamas former shareholders prior to Class B Preferred Shareholders, Class A Preferred Shareholders and Ordinary Shareholders.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were no conversion rights granted to holders of Class B-1 Preferred Shares upon the issuance of the preferred shares to preferred shareholders.</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All outstanding Class B-1 Preferred Shares can be automatically converted into ordinary shares of the Company after its listing in US capital market.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Each holder of Class B-1 Preferred Shares is entitled to vote together with the holders of ordinary shares on all matters submitted to a vote of the shareholders of the company or the group on an as-if-converted basis.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Each holder of Class B -1 Preferred Shares is entitled to receive non-cumulative dividends, payable out of funds or assets when and as such funds or assets become legally available therefor pari passum with ordinary shares, on an as-converted basis, when, as, and if declared by the board of directors.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preferred shares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Company classifies the preferred shares as mezzanine equity in the consolidated balance sheets because they are redeemable upon the occurrence of an event not solely within the control of the Company.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MEZZANINE EQUITY — (continued)</w:t>
      </w:r>
    </w:p>
    <w:p>
      <w:pPr>
        <w:spacing w:after="0" w:line="229" w:lineRule="exact"/>
        <w:rPr>
          <w:sz w:val="20"/>
          <w:szCs w:val="20"/>
          <w:color w:val="auto"/>
        </w:rPr>
      </w:pPr>
    </w:p>
    <w:p>
      <w:pPr>
        <w:jc w:val="both"/>
        <w:ind w:left="1260" w:right="599"/>
        <w:spacing w:after="0" w:line="266" w:lineRule="auto"/>
        <w:rPr>
          <w:sz w:val="20"/>
          <w:szCs w:val="20"/>
          <w:color w:val="auto"/>
        </w:rPr>
      </w:pPr>
      <w:r>
        <w:rPr>
          <w:rFonts w:ascii="Times New Roman" w:cs="Times New Roman" w:eastAsia="Times New Roman" w:hAnsi="Times New Roman"/>
          <w:sz w:val="18"/>
          <w:szCs w:val="18"/>
          <w:color w:val="auto"/>
        </w:rPr>
        <w:t>The preferred shares are recorded initially at fair value, net of issuance costs. The Company did not incur material issuance costs for any preferred shares issued. There were no declared or undeclared dividends in arrears on redeemable preferred shares as of December 31, 2022 and 2023.</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For each reporting period, the Company assesses whether the preferred shares are currently redeemable and if the preferred shares are not currently redeemable, the Company further assesses whether it is probable that preferred shares will become redeemable. Except Class B-1 Preferred Shares which the redemption value were determined by the NIP Redemption Price, for any other preferred shares that are not currently redeemable and it is probable that preferred shares will become redeemable, the Company recognizes changes in the redemption value immediately as they occur over the period from the date of issuance to the earliest redemption date to equal the redemption value at the end of each reporting period based on the higher of (i) the issuance price plus a pre-determined annualized return set forth in the agreements and (ii) fair market value (estimated using the equity allocation model based on option pricing model with probability- weighted scenario analysis with the assistance from a valuation report prepared by an independent valuation firm using management’s estimates and assumptions).</w:t>
      </w:r>
    </w:p>
    <w:p>
      <w:pPr>
        <w:spacing w:after="0" w:line="12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ASC 480-10-S99, the accretion is recorded against retained earnings, or in the absence of retained earnings, by charges against additional paid-in-capital, or in the absence of additional paid-in-capital, by charges to accumulated deficit. The accretion of the preferred shares was $25,296,874 and $43,914,707 for the years ended December 31,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ORDINARY SHARES</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June 2022, in connection with the issuance of Class B Preferred Shares, the capital of the Company is 500,000,000 shares consist of 467,163,996 ordinary shares, 24,709,527 Class A preferred shares and 8,126,477 Class B preferred shares.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connection to the Reorganization (Note 1), on June 30, 2023, the Company issued shares at a fixed ratio 5.75% in relation to current shares to all the present shareholders without extra consideration, including 2,019,516 of ordinary shares, 1,342,752 of Class-A preferred shares, 146,389 of Class-B preferred shares and 2,339,106 of Class-B-1 preferred shares. Pursuant to ASC 505, the issuance of shares on June 30, 2023 was stock dividend in form, in the case of deficit position of retained earnings, the Company recorded this issuance of shares similar with a stock split and retrospectively adjust the historical financial statements included in the registration statement for all periods presented.</w:t>
      </w:r>
    </w:p>
    <w:p>
      <w:pPr>
        <w:spacing w:after="0" w:line="121" w:lineRule="exact"/>
        <w:rPr>
          <w:sz w:val="20"/>
          <w:szCs w:val="20"/>
          <w:color w:val="auto"/>
        </w:rPr>
      </w:pPr>
    </w:p>
    <w:p>
      <w:pPr>
        <w:ind w:left="1260" w:right="479" w:firstLine="360"/>
        <w:spacing w:after="0" w:line="275" w:lineRule="auto"/>
        <w:rPr>
          <w:sz w:val="20"/>
          <w:szCs w:val="20"/>
          <w:color w:val="auto"/>
        </w:rPr>
      </w:pPr>
      <w:r>
        <w:rPr>
          <w:rFonts w:ascii="Times New Roman" w:cs="Times New Roman" w:eastAsia="Times New Roman" w:hAnsi="Times New Roman"/>
          <w:sz w:val="18"/>
          <w:szCs w:val="18"/>
          <w:color w:val="auto"/>
        </w:rPr>
        <w:t>The effect of the ordinary shares issued in the Reorganization has been treated similarly to a share split and have been presented retrospectively as of the all period presented on the consolidated financial statements.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RESTRICTED NET ASSETS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 significant portion of the Group’s operations are conducted through its PRC (excluding Hong Kong) subsidiaries, the Group’s ability to pay dividends is primarily dependent on receiving distributions of funds from subsidiaries. Relevant PRC statutory laws and regulations permit payments of dividends by our subsidiaries only out of their retained earnings, if any, as determined in accordance with PRC accounting standards and regulations, and after it has met the PRC requirements for appropriation to statutory reserves. The Group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surplus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RESTRICTED NET ASSETS — (continued)</w:t>
      </w:r>
    </w:p>
    <w:p>
      <w:pPr>
        <w:spacing w:after="0" w:line="22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reserve are made at the discretion of the shareholders. Paid-in capital of our subsidiaries included in the Company’s consolidated net assets are also non-distributable for dividend purposes.</w:t>
      </w:r>
    </w:p>
    <w:p>
      <w:pPr>
        <w:spacing w:after="0" w:line="94"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As a result of these PRC laws and regulations, the Group’s PRC subsidiaries are restricted in their ability to transfer a portion of their net assets to the Company. As of December 31, 2022 and 2023, net assets restricted in the aggregate, which include paid-in capital and statutory reserve funds of the Group’s PRC subsidiaries, that are included in the consolidated net assets were $5,261,322 and $5,752,354, respectively.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SHARE-BASED COMPENSATION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options granted by NIP Group Inc. to optionees</w:t>
      </w:r>
    </w:p>
    <w:p>
      <w:pPr>
        <w:spacing w:after="0" w:line="16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December 2019, the shareholders of Shenzhen VF approved and adopted the Stock Incentive Plan (“the 2019 Plan”), under which Mario Yau Kwan Ho (“founder, chairman of board, and major shareholder of the Group”) transferred 15% equity interest of Shenzhen VF to a newly established entity at a consideration of RMB 1 as an incentive platform. The 2019 Plan allows the incentive platform to grant options of Shenzhen VF to its directors, employees, and non-employees etc. (collectively, the “Optionees”) to acquire equity interest of Shenzhen VF at an exercise price of nil. The options have a contractual term of four years.</w:t>
      </w:r>
    </w:p>
    <w:p>
      <w:pPr>
        <w:spacing w:after="0" w:line="33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Reverse Acquisition on March 18, 2021, Wuhan ESVF amended and restated the 2019 Plan, adopting the Amended 2019 Plan. In connection with the closing of the Reverse Acquisition, each stock option outstanding under the 2019 Plan immediately prior to the closing of the Reverse Acquisition was converted into an option to purchase a number of equity interest of Wuhan ESVF equal to the aggregate number of equity interest for which such stock option was exercisable immediately prior to the closing of the Reverse Acquisition multiplied by an exchange ratio.</w:t>
      </w:r>
    </w:p>
    <w:p>
      <w:pPr>
        <w:spacing w:after="0" w:line="10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the options to purchase 15% equity interest of Shenzhen VF prior to the closing of the Reverse Acquisition under the 2019 Plan were converted into options to purchase 7.5952% of equity interest of Wuhan ESVF. The exercise price of such options modified remained unchanged, which was nil.</w:t>
      </w:r>
    </w:p>
    <w:p>
      <w:pPr>
        <w:spacing w:after="0" w:line="108"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conversion of the incentive stock options of Shenzhen VF under the Amended 2019 Plan into incentive stock options of Wuhan ESVF was deemed a modification at closing of Reverse Acquisition. There is no incremental compensation cost of the modification.</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After the Reorganization in July 2021, all share options granted by Wuhan ESVF during the period between 2019 and the first half of 2021 were replaced by share options granted by the Company. One share of equity interest changed to 98.69 ordinary shares of the Company, and through this, the shareholding percentage of the Group was unchanged.</w:t>
      </w:r>
    </w:p>
    <w:p>
      <w:pPr>
        <w:spacing w:after="0" w:line="9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Reorganization did not change the classification and vesting condition of share-based awards as equity instruments. And all other inputs to the fair value of share options remain the same. No additional share-based compensation expenses were recognized as there was no incremental fair value change immediately before and after the Reorganization. Therefore, the Reorganization awards should be accounted for in the same way as its original awards.</w:t>
      </w:r>
    </w:p>
    <w:p>
      <w:pPr>
        <w:spacing w:after="0" w:line="116"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On January 1, 2023, the Company granted options to its employee to purchase equity interest of 1,725,132 of the Company’s Ordinary Shares at an exercise price of nil under the 2019 Plan, which was equivalent to 2.67% equity interest of the Company. All these options granted became exercisable immediately on grant date.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SHARE-BASED COMPENSATION — (continued)</w:t>
      </w:r>
    </w:p>
    <w:p>
      <w:pPr>
        <w:spacing w:after="0" w:line="22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Share-based compensation is measured based on the fair value of the Company’s ordinary shares at the grant date of the award, which is estimated using the income approach and equity allocation method. Estimation of the fair value of the Company’s ordinary shares involves significant assumptions that might not be observable in the market, and a number of complex and subjective variables, discount rate, risk-free interest rate and subjective judgments regarding the Company’s projected financial and operating results, its unique business risks, the liquidity of its ordinary shares and its operating history and prospects at the time the grants are made. Share-based compensation in relation to the share options is estimated using the equity allocation model based on option pricing model with probability-weighted scenario analysis with respect to the fair value of 100% equity interest estimated using the discounted cash flow method under income approach. The fair value of these awards was determined by management with the assistance from a valuation report prepared by an independent valuation firm using management’s estimates and assumptions.</w:t>
      </w:r>
    </w:p>
    <w:p>
      <w:pPr>
        <w:spacing w:after="0" w:line="12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assumptions used to estimate the fair value of the share options granted during the periods presented are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40" w:type="dxa"/>
            <w:vAlign w:val="bottom"/>
          </w:tcPr>
          <w:p>
            <w:pPr>
              <w:spacing w:after="0"/>
              <w:rPr>
                <w:sz w:val="14"/>
                <w:szCs w:val="14"/>
                <w:color w:val="auto"/>
              </w:rPr>
            </w:pPr>
          </w:p>
        </w:tc>
      </w:tr>
      <w:tr>
        <w:trPr>
          <w:trHeight w:val="214"/>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December 31, 2023 </w:t>
            </w:r>
            <w:r>
              <w:rPr>
                <w:rFonts w:ascii="Times New Roman" w:cs="Times New Roman" w:eastAsia="Times New Roman" w:hAnsi="Times New Roman"/>
                <w:sz w:val="24"/>
                <w:szCs w:val="24"/>
                <w:b w:val="1"/>
                <w:bCs w:val="1"/>
                <w:color w:val="auto"/>
                <w:vertAlign w:val="subscript"/>
              </w:rPr>
              <w:t>​</w:t>
            </w:r>
          </w:p>
        </w:tc>
      </w:tr>
      <w:tr>
        <w:trPr>
          <w:trHeight w:val="25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tcBorders>
              <w:top w:val="single" w:sz="8" w:color="CCEEFF"/>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​75,89%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2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2.35%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01193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share options activity for the year ended December 31, 2023 is presented below:</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intrinsic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9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2140" w:type="dxa"/>
            <w:vAlign w:val="bottom"/>
            <w:gridSpan w:val="5"/>
            <w:shd w:val="clear" w:color="auto" w:fill="CCEEFF"/>
          </w:tcPr>
          <w:p>
            <w:pPr>
              <w:ind w:left="9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​1,763,507</w:t>
            </w:r>
            <w:r>
              <w:rPr>
                <w:rFonts w:ascii="Times New Roman" w:cs="Times New Roman" w:eastAsia="Times New Roman" w:hAnsi="Times New Roman"/>
                <w:sz w:val="28"/>
                <w:szCs w:val="28"/>
                <w:color w:val="auto"/>
                <w:vertAlign w:val="subscript"/>
              </w:rPr>
              <w:t>​​ ​</w:t>
            </w:r>
          </w:p>
        </w:tc>
        <w:tc>
          <w:tcPr>
            <w:tcW w:w="160" w:type="dxa"/>
            <w:vAlign w:val="bottom"/>
            <w:tcBorders>
              <w:right w:val="single" w:sz="8" w:color="CCEEFF"/>
            </w:tcBorders>
            <w:shd w:val="clear" w:color="auto" w:fill="CCEEFF"/>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w:t>
            </w:r>
          </w:p>
        </w:tc>
        <w:tc>
          <w:tcPr>
            <w:tcW w:w="960" w:type="dxa"/>
            <w:vAlign w:val="bottom"/>
            <w:gridSpan w:val="5"/>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​6,252,693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 ​​1,725,132​​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(3,488,639)</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righ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1200" w:type="dxa"/>
            <w:vAlign w:val="bottom"/>
            <w:tcBorders>
              <w:right w:val="single" w:sz="8" w:color="CCEEFF"/>
            </w:tcBorders>
            <w:gridSpan w:val="2"/>
            <w:shd w:val="clear" w:color="auto" w:fill="CCEEFF"/>
          </w:tcPr>
          <w:p>
            <w:pPr>
              <w:ind w:left="960"/>
              <w:spacing w:after="0" w:line="54" w:lineRule="exact"/>
              <w:rPr>
                <w:sz w:val="20"/>
                <w:szCs w:val="20"/>
                <w:color w:val="auto"/>
              </w:rPr>
            </w:pPr>
            <w:r>
              <w:rPr>
                <w:rFonts w:ascii="Times New Roman" w:cs="Times New Roman" w:eastAsia="Times New Roman" w:hAnsi="Times New Roman"/>
                <w:sz w:val="6"/>
                <w:szCs w:val="6"/>
                <w:color w:val="auto"/>
              </w:rPr>
              <w:t>​ ​​</w:t>
            </w:r>
          </w:p>
        </w:tc>
        <w:tc>
          <w:tcPr>
            <w:tcW w:w="7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700" w:type="dxa"/>
            <w:vAlign w:val="bottom"/>
            <w:tcBorders>
              <w:right w:val="single" w:sz="8" w:color="CCEEFF"/>
            </w:tcBorders>
            <w:gridSpan w:val="3"/>
            <w:shd w:val="clear" w:color="auto" w:fill="CCEEFF"/>
          </w:tcPr>
          <w:p>
            <w:pPr>
              <w:ind w:left="240"/>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gridSpan w:val="3"/>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ind w:left="9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9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70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60" w:type="dxa"/>
            <w:vAlign w:val="bottom"/>
          </w:tcPr>
          <w:p>
            <w:pPr>
              <w:spacing w:after="0"/>
              <w:rPr>
                <w:sz w:val="23"/>
                <w:szCs w:val="23"/>
                <w:color w:val="auto"/>
              </w:rPr>
            </w:pPr>
          </w:p>
        </w:tc>
        <w:tc>
          <w:tcPr>
            <w:tcW w:w="2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0" w:type="dxa"/>
            <w:vAlign w:val="bottom"/>
            <w:tcBorders>
              <w:right w:val="single" w:sz="8" w:color="auto"/>
            </w:tcBorders>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right w:val="single" w:sz="8" w:color="CCEEFF"/>
            </w:tcBorders>
            <w:gridSpan w:val="2"/>
            <w:shd w:val="clear" w:color="auto" w:fill="CCEEFF"/>
          </w:tcPr>
          <w:p>
            <w:pPr>
              <w:ind w:left="9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94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w:t>
            </w:r>
          </w:p>
        </w:tc>
        <w:tc>
          <w:tcPr>
            <w:tcW w:w="160" w:type="dxa"/>
            <w:vAlign w:val="bottom"/>
            <w:tcBorders>
              <w:right w:val="single" w:sz="8" w:color="CCEEFF"/>
            </w:tcBorders>
            <w:shd w:val="clear" w:color="auto" w:fill="CCEEFF"/>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32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0" w:type="dxa"/>
            <w:vAlign w:val="bottom"/>
            <w:gridSpan w:val="2"/>
          </w:tcPr>
          <w:p>
            <w:pPr>
              <w:ind w:left="960"/>
              <w:spacing w:after="0" w:line="23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perscript"/>
              </w:rPr>
              <w:t>​</w:t>
            </w:r>
          </w:p>
        </w:tc>
        <w:tc>
          <w:tcPr>
            <w:tcW w:w="9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w:t>
            </w:r>
          </w:p>
        </w:tc>
        <w:tc>
          <w:tcPr>
            <w:tcW w:w="160" w:type="dxa"/>
            <w:vAlign w:val="bottom"/>
          </w:tcPr>
          <w:p>
            <w:pPr>
              <w:ind w:left="10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ind w:right="2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w:t>
            </w:r>
          </w:p>
        </w:tc>
        <w:tc>
          <w:tcPr>
            <w:tcW w:w="320" w:type="dxa"/>
            <w:vAlign w:val="bottom"/>
            <w:gridSpan w:val="3"/>
          </w:tcPr>
          <w:p>
            <w:pPr>
              <w:spacing w:after="0" w:line="23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perscript"/>
              </w:rPr>
              <w:t>​</w:t>
            </w:r>
          </w:p>
        </w:tc>
        <w:tc>
          <w:tcPr>
            <w:tcW w:w="460" w:type="dxa"/>
            <w:vAlign w:val="bottom"/>
          </w:tcPr>
          <w:p>
            <w:pPr>
              <w:spacing w:after="0"/>
              <w:rPr>
                <w:sz w:val="20"/>
                <w:szCs w:val="20"/>
                <w:color w:val="auto"/>
              </w:rPr>
            </w:pPr>
          </w:p>
        </w:tc>
        <w:tc>
          <w:tcPr>
            <w:tcW w:w="2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-487680</wp:posOffset>
            </wp:positionV>
            <wp:extent cx="474916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presented on a retroactive basis to reflect the stock split (Note 14)</w:t>
      </w:r>
    </w:p>
    <w:p>
      <w:pPr>
        <w:spacing w:after="0" w:line="15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Group recognized compensation expense for the years ended December 31, 2022 and 2023 were $165,721 and $6,122,348, respectively.</w:t>
      </w:r>
    </w:p>
    <w:p>
      <w:pPr>
        <w:spacing w:after="0" w:line="8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On January 10, 2023, all the granted and vested shares have been exercised. As of December 31, 2023, there was no unrecognized compensation cost related to unvested share options.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LOSS PER SHARE</w:t>
      </w:r>
    </w:p>
    <w:p>
      <w:pPr>
        <w:spacing w:after="0" w:line="14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share computation and provides a reconciliation of the numerator and denominator for the years ended December 31, 2022 and 2023 presented: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LOSS PER SHARE — (continued)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920" w:type="dxa"/>
            <w:vAlign w:val="bottom"/>
          </w:tcPr>
          <w:p>
            <w:pPr>
              <w:ind w:left="5720"/>
              <w:spacing w:after="0"/>
              <w:rPr>
                <w:sz w:val="20"/>
                <w:szCs w:val="20"/>
                <w:color w:val="auto"/>
              </w:rPr>
            </w:pPr>
            <w:r>
              <w:rPr>
                <w:rFonts w:ascii="Times New Roman" w:cs="Times New Roman" w:eastAsia="Times New Roman" w:hAnsi="Times New Roman"/>
                <w:sz w:val="14"/>
                <w:szCs w:val="14"/>
                <w:b w:val="1"/>
                <w:bCs w:val="1"/>
                <w:color w:val="auto"/>
              </w:rPr>
              <w:t>​ ​</w:t>
            </w:r>
          </w:p>
        </w:tc>
        <w:tc>
          <w:tcPr>
            <w:tcW w:w="20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920" w:type="dxa"/>
            <w:vAlign w:val="bottom"/>
          </w:tcPr>
          <w:p>
            <w:pPr>
              <w:ind w:left="57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7"/>
                <w:szCs w:val="27"/>
                <w:b w:val="1"/>
                <w:bCs w:val="1"/>
                <w:color w:val="auto"/>
                <w:w w:val="99"/>
                <w:vertAlign w:val="subscript"/>
              </w:rPr>
              <w:t>​ ​</w:t>
            </w: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 attributable to NIP Group Inc.’s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40" w:lineRule="exact"/>
        <w:rPr>
          <w:sz w:val="20"/>
          <w:szCs w:val="20"/>
          <w:color w:val="auto"/>
        </w:rPr>
      </w:pPr>
    </w:p>
    <w:p>
      <w:pPr>
        <w:ind w:left="1440" w:right="58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885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Denominator for basic and diluted net loss per share calculation</w:t>
      </w:r>
    </w:p>
    <w:p>
      <w:pPr>
        <w:spacing w:after="0" w:line="67"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ordinary shareholders of NIP Group Inc.’s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123444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(31,512,555)</w:t>
            </w:r>
          </w:p>
        </w:tc>
        <w:tc>
          <w:tcPr>
            <w:tcW w:w="10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(57,172,736)</w:t>
            </w:r>
          </w:p>
        </w:tc>
        <w:tc>
          <w:tcPr>
            <w:tcW w:w="0" w:type="dxa"/>
            <w:vAlign w:val="bottom"/>
          </w:tcPr>
          <w:p>
            <w:pPr>
              <w:spacing w:after="0"/>
              <w:rPr>
                <w:sz w:val="1"/>
                <w:szCs w:val="1"/>
                <w:color w:val="auto"/>
              </w:rPr>
            </w:pPr>
          </w:p>
        </w:tc>
      </w:tr>
      <w:tr>
        <w:trPr>
          <w:trHeight w:val="99"/>
        </w:trPr>
        <w:tc>
          <w:tcPr>
            <w:tcW w:w="120" w:type="dxa"/>
            <w:vAlign w:val="bottom"/>
            <w:vMerge w:val="continue"/>
          </w:tcPr>
          <w:p>
            <w:pPr>
              <w:spacing w:after="0"/>
              <w:rPr>
                <w:sz w:val="8"/>
                <w:szCs w:val="8"/>
                <w:color w:val="auto"/>
              </w:rPr>
            </w:pPr>
          </w:p>
        </w:tc>
        <w:tc>
          <w:tcPr>
            <w:tcW w:w="380" w:type="dxa"/>
            <w:vAlign w:val="bottom"/>
            <w:gridSpan w:val="2"/>
          </w:tcPr>
          <w:p>
            <w:pPr>
              <w:jc w:val="right"/>
              <w:ind w:right="150"/>
              <w:spacing w:after="0" w:line="10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8"/>
                <w:szCs w:val="8"/>
                <w:color w:val="auto"/>
              </w:rPr>
            </w:pPr>
          </w:p>
        </w:tc>
        <w:tc>
          <w:tcPr>
            <w:tcW w:w="14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30"/>
              <w:spacing w:after="0" w:line="10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8"/>
                <w:szCs w:val="8"/>
                <w:color w:val="auto"/>
              </w:rPr>
            </w:pPr>
          </w:p>
        </w:tc>
        <w:tc>
          <w:tcPr>
            <w:tcW w:w="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59"/>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34,987,683​​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37,124,622​</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​34,987,683</w:t>
            </w:r>
            <w:r>
              <w:rPr>
                <w:rFonts w:ascii="Times New Roman" w:cs="Times New Roman" w:eastAsia="Times New Roman" w:hAnsi="Times New Roman"/>
                <w:sz w:val="30"/>
                <w:szCs w:val="30"/>
                <w:color w:val="auto"/>
                <w:vertAlign w:val="subscript"/>
              </w:rPr>
              <w:t>​​</w:t>
            </w:r>
          </w:p>
        </w:tc>
        <w:tc>
          <w:tcPr>
            <w:tcW w:w="102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​37,124,622</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4"/>
                <w:szCs w:val="24"/>
                <w:color w:val="auto"/>
              </w:rPr>
            </w:pPr>
          </w:p>
        </w:tc>
        <w:tc>
          <w:tcPr>
            <w:tcW w:w="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380" w:type="dxa"/>
            <w:vAlign w:val="bottom"/>
            <w:gridSpan w:val="2"/>
          </w:tcPr>
          <w:p>
            <w:pPr>
              <w:jc w:val="right"/>
              <w:ind w:right="150"/>
              <w:spacing w:after="0" w:line="8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spacing w:after="0"/>
              <w:rPr>
                <w:sz w:val="7"/>
                <w:szCs w:val="7"/>
                <w:color w:val="auto"/>
              </w:rPr>
            </w:pPr>
          </w:p>
        </w:tc>
        <w:tc>
          <w:tcPr>
            <w:tcW w:w="1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gridSpan w:val="2"/>
          </w:tcPr>
          <w:p>
            <w:pPr>
              <w:jc w:val="right"/>
              <w:ind w:right="150"/>
              <w:spacing w:after="0" w:line="8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20" w:space="340"/>
            <w:col w:w="2619"/>
          </w:cols>
          <w:pgMar w:left="580" w:top="97" w:right="1440" w:bottom="1440" w:gutter="0" w:footer="0" w:header="0"/>
          <w:type w:val="continuous"/>
        </w:sectPr>
      </w:pPr>
    </w:p>
    <w:p>
      <w:pPr>
        <w:spacing w:after="0" w:line="101" w:lineRule="exact"/>
        <w:rPr>
          <w:sz w:val="20"/>
          <w:szCs w:val="20"/>
          <w:color w:val="auto"/>
        </w:rPr>
      </w:pPr>
    </w:p>
    <w:p>
      <w:pPr>
        <w:ind w:left="1620" w:hanging="360"/>
        <w:spacing w:after="0"/>
        <w:tabs>
          <w:tab w:leader="none" w:pos="16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and per share data are presented on a retroactive basis to reflect the stock split (Note 14)</w:t>
      </w:r>
    </w:p>
    <w:p>
      <w:pPr>
        <w:spacing w:after="0" w:line="2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2023, the Group had potential ordinary shares, including share options granted and preferred shares. As the Group incurred losses for the years ended December 31, 2022 and 2023, these potential ordinary shares were anti-dilutive and excluded from the calculation of diluted net loss per share of the Group. The weighted-average numbers of non-vested share options excluded from the calculation of diluted net loss per share of the Group were 450,564 and nil as of December 31, 2022 and 2023, respectively.</w:t>
      </w:r>
    </w:p>
    <w:p>
      <w:pPr>
        <w:spacing w:after="0" w:line="176"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The 1,312,930 and nil stock options were vested but unexercised as of December 31, 2022 and 2023, respectively. The Group included these stock options to calculate the denominator because they are exercisable at RMB nil.</w:t>
      </w:r>
    </w:p>
    <w:p>
      <w:pPr>
        <w:spacing w:after="0" w:line="169"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Holders of the preferred shares are entitled to receive non-cumulative dividends pari passum with ordinary shares, on an as-converted basis, hence the preferred shares meet the definition of participating securities pursuant to the definition under ASC 260-10-20. However, net loss available to ordinary shareholders were not adjusted due to the following: 1) the holders of the preferred shares are entitled to non-cumulative dividends and there was no declared non-cumulative dividends during the presented periods; 2) there was no undistributed earnings during the presented periods and the holders are not entitled to bear any loss (e.g. make additional contribution to the Group in case of significant losses) of the Group; and 3) the contractual principal or mandatory redemption amount of the holder is not reduced as a result of losses incurred by the Group. Therefore, there was no adjustment from undistributed earnings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RELATED PARTY TRANSACTIONS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p>
      <w:pPr>
        <w:spacing w:after="0" w:line="27" w:lineRule="exact"/>
        <w:rPr>
          <w:sz w:val="20"/>
          <w:szCs w:val="20"/>
          <w:color w:val="auto"/>
        </w:rPr>
      </w:pPr>
    </w:p>
    <w:p>
      <w:pPr>
        <w:jc w:val="both"/>
        <w:ind w:left="1260"/>
        <w:spacing w:after="0"/>
        <w:tabs>
          <w:tab w:leader="none" w:pos="1620" w:val="left"/>
          <w:tab w:leader="none" w:pos="2880" w:val="left"/>
          <w:tab w:leader="none" w:pos="5520" w:val="left"/>
          <w:tab w:leader="none" w:pos="6660" w:val="left"/>
          <w:tab w:leader="none" w:pos="9440" w:val="left"/>
        </w:tabs>
        <w:rPr>
          <w:sz w:val="20"/>
          <w:szCs w:val="20"/>
          <w:color w:val="auto"/>
        </w:rPr>
      </w:pPr>
      <w:r>
        <w:rPr>
          <w:rFonts w:ascii="Times New Roman" w:cs="Times New Roman" w:eastAsia="Times New Roman" w:hAnsi="Times New Roman"/>
          <w:sz w:val="14"/>
          <w:szCs w:val="14"/>
          <w:b w:val="1"/>
          <w:bCs w:val="1"/>
          <w:color w:val="auto"/>
        </w:rPr>
        <w:t>No.</w:t>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Name of Related Parties</w:t>
      </w:r>
      <w:r>
        <w:rPr>
          <w:sz w:val="20"/>
          <w:szCs w:val="20"/>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Relationship with the Group</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Mario Yau Kwan Ho</w:t>
            </w: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and Co-Chief Executive Officer</w:t>
            </w:r>
          </w:p>
        </w:tc>
      </w:tr>
      <w:tr>
        <w:trPr>
          <w:trHeight w:val="257"/>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Douyu Internet Technology Co., Ltd. (“Douyu”)*</w:t>
            </w:r>
          </w:p>
        </w:tc>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Shareholder of the Group</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 Zhang</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Senior Vice President, minority</w:t>
            </w: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92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shareholder of Hongli Culture</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Liwei Sun</w:t>
            </w:r>
          </w:p>
        </w:tc>
        <w:tc>
          <w:tcPr>
            <w:tcW w:w="39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Director and President</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9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Rui Zhou</w:t>
            </w:r>
          </w:p>
        </w:tc>
        <w:tc>
          <w:tcPr>
            <w:tcW w:w="39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Shareholder of the Group</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9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Haoming Yu</w:t>
            </w:r>
          </w:p>
        </w:tc>
        <w:tc>
          <w:tcPr>
            <w:tcW w:w="39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Senior Vice President</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9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Ronghua Gu</w:t>
            </w:r>
          </w:p>
        </w:tc>
        <w:tc>
          <w:tcPr>
            <w:tcW w:w="39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Shareholder of the Group</w:t>
            </w:r>
          </w:p>
        </w:tc>
      </w:tr>
      <w:tr>
        <w:trPr>
          <w:trHeight w:val="270"/>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9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Wuhan Tourism&amp;Sports Group</w:t>
            </w:r>
          </w:p>
        </w:tc>
        <w:tc>
          <w:tcPr>
            <w:tcW w:w="39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Principal Beneficial of the Group</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Linyu Ecological Group Co., Ltd.</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controlled by Wuhan Tourism&amp;Sports</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(“Wuhan Linyu”)</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Group</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​​Hainan Xingjing Technology Center LLP</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entity controlled by Liwei Sun</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(“Hainan Xingjing”)</w:t>
            </w:r>
          </w:p>
        </w:tc>
        <w:tc>
          <w:tcPr>
            <w:tcW w:w="1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Ouyue Online TV Co., Ltd. (“Wuhan</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controlled by Douyu</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Ouyue”)*</w:t>
            </w:r>
          </w:p>
        </w:tc>
        <w:tc>
          <w:tcPr>
            <w:tcW w:w="1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Media Group (“Shenzhen Media”)</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of the Group and minority</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shareholder of Dawei Xianglong</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Xingjing Culture Media Co., Ltd</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controlled by Liwei Sun</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(“Xingjing Culture Media”)</w:t>
            </w:r>
          </w:p>
        </w:tc>
        <w:tc>
          <w:tcPr>
            <w:tcW w:w="1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​​Tianjin Xingjingweiwu Management Consulting</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controlled by Liwei Sun</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LLP (“Tianjin LLP”)</w:t>
            </w:r>
          </w:p>
        </w:tc>
        <w:tc>
          <w:tcPr>
            <w:tcW w:w="1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​​Shenzhen Xingjing Weiwu Education Technology ​​Entity which the Group holds 43.9144% equity</w:t>
            </w: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 Ltd. (“Shenzhen Xingjing”)</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interests</w:t>
            </w:r>
          </w:p>
        </w:tc>
      </w:tr>
      <w:tr>
        <w:trPr>
          <w:trHeight w:val="243"/>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​​Tianjin Mingren Enterprise Management</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ultimately controlled by Mario Yau Kwan</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Partnership (Limited Partnership) (“Tianjin</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Ho</w:t>
            </w: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Mingren”)</w:t>
            </w: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475"/>
        </w:trPr>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9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Hicham Chahine</w:t>
            </w:r>
          </w:p>
        </w:tc>
        <w:tc>
          <w:tcPr>
            <w:tcW w:w="39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Director and Co-Chief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2344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9" w:lineRule="exact"/>
        <w:rPr>
          <w:sz w:val="20"/>
          <w:szCs w:val="20"/>
          <w:color w:val="auto"/>
        </w:rPr>
      </w:pPr>
    </w:p>
    <w:p>
      <w:pPr>
        <w:sectPr>
          <w:pgSz w:w="11900" w:h="16838" w:orient="portrait"/>
          <w:cols w:equalWidth="0" w:num="2">
            <w:col w:w="9440" w:space="0"/>
            <w:col w:w="439"/>
          </w:cols>
          <w:pgMar w:left="580" w:top="97" w:right="1440" w:bottom="1440" w:gutter="0" w:footer="0" w:header="0"/>
          <w:type w:val="continuous"/>
        </w:sectPr>
      </w:pPr>
    </w:p>
    <w:p>
      <w:pPr>
        <w:ind w:left="1620" w:right="459" w:hanging="360"/>
        <w:spacing w:after="0" w:line="275" w:lineRule="auto"/>
        <w:tabs>
          <w:tab w:leader="none" w:pos="16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ASC 850, for the year ended December 31, 2022 and as of December 31, 2022, the Group identified Douyu and Wuhan Ouyue as related parties and disclose the related party transactions accordingly due to Douyu and Wuhan Ouyue have an ownership interest in the Group and can significantly influence the Group to an extent that might be prevented from fully pursuing its own separate interests. While through the reassessment of changes of factors occurred on January 10, 2023, the dilution of equity interest after acquisition of Ninjas in Pyjamas, Douyu and Ouyue lost such influence power and shall no longer be accounted as related parties of the Group.</w:t>
      </w: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p>
      <w:pPr>
        <w:spacing w:after="0" w:line="148"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Amounts due from related parties consisted of the following for the periods indicated, the amount due from Wuhan Ouyue was fully collected as of the issuance date of these financial statements.</w:t>
      </w:r>
    </w:p>
    <w:p>
      <w:pPr>
        <w:spacing w:after="0" w:line="200" w:lineRule="exact"/>
        <w:rPr>
          <w:sz w:val="20"/>
          <w:szCs w:val="20"/>
          <w:color w:val="auto"/>
        </w:rPr>
      </w:pPr>
    </w:p>
    <w:p>
      <w:pPr>
        <w:spacing w:after="0" w:line="2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RELATED PARTY TRANSACTIONS — (continued)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Borders>
              <w:bottom w:val="single" w:sz="8" w:color="auto"/>
            </w:tcBorders>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Xingjing</w:t>
            </w:r>
            <w:r>
              <w:rPr>
                <w:rFonts w:ascii="Times New Roman" w:cs="Times New Roman" w:eastAsia="Times New Roman" w:hAnsi="Times New Roman"/>
                <w:sz w:val="23"/>
                <w:szCs w:val="23"/>
                <w:color w:val="auto"/>
                <w:vertAlign w:val="superscript"/>
              </w:rPr>
              <w:t>(1)(2)</w:t>
            </w:r>
          </w:p>
        </w:tc>
        <w:tc>
          <w:tcPr>
            <w:tcW w:w="2120" w:type="dxa"/>
            <w:vAlign w:val="bottom"/>
            <w:tcBorders>
              <w:right w:val="single" w:sz="8" w:color="auto"/>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vMerge w:val="continue"/>
            <w:shd w:val="clear" w:color="auto" w:fill="CCEEFF"/>
          </w:tcPr>
          <w:p>
            <w:pPr>
              <w:spacing w:after="0"/>
              <w:rPr>
                <w:sz w:val="24"/>
                <w:szCs w:val="24"/>
                <w:color w:val="auto"/>
              </w:rPr>
            </w:pPr>
          </w:p>
        </w:tc>
        <w:tc>
          <w:tcPr>
            <w:tcW w:w="232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4"/>
                <w:szCs w:val="24"/>
                <w:color w:val="auto"/>
              </w:rPr>
            </w:pP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​​$232,229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39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Liwei Sun</w:t>
            </w:r>
            <w:r>
              <w:rPr>
                <w:rFonts w:ascii="Times New Roman" w:cs="Times New Roman" w:eastAsia="Times New Roman" w:hAnsi="Times New Roman"/>
                <w:sz w:val="23"/>
                <w:szCs w:val="23"/>
                <w:color w:val="auto"/>
                <w:vertAlign w:val="superscript"/>
              </w:rPr>
              <w:t>(2)</w:t>
            </w:r>
          </w:p>
        </w:tc>
        <w:tc>
          <w:tcPr>
            <w:tcW w:w="390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 ​  38,258​​ ​​ ​ 37,165​</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Tianjin LLP</w:t>
            </w:r>
            <w:r>
              <w:rPr>
                <w:rFonts w:ascii="Times New Roman" w:cs="Times New Roman" w:eastAsia="Times New Roman" w:hAnsi="Times New Roman"/>
                <w:sz w:val="23"/>
                <w:szCs w:val="23"/>
                <w:color w:val="auto"/>
                <w:vertAlign w:val="superscript"/>
              </w:rPr>
              <w:t>(2)</w:t>
            </w:r>
          </w:p>
        </w:tc>
        <w:tc>
          <w:tcPr>
            <w:tcW w:w="232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 ​​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3"/>
        </w:trPr>
        <w:tc>
          <w:tcPr>
            <w:tcW w:w="39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Tianjin Mingren</w:t>
            </w:r>
            <w:r>
              <w:rPr>
                <w:rFonts w:ascii="Times New Roman" w:cs="Times New Roman" w:eastAsia="Times New Roman" w:hAnsi="Times New Roman"/>
                <w:sz w:val="23"/>
                <w:szCs w:val="23"/>
                <w:color w:val="auto"/>
                <w:vertAlign w:val="superscript"/>
              </w:rPr>
              <w:t>(2)</w:t>
            </w:r>
          </w:p>
        </w:tc>
        <w:tc>
          <w:tcPr>
            <w:tcW w:w="23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Ouyue</w:t>
            </w:r>
            <w:r>
              <w:rPr>
                <w:rFonts w:ascii="Times New Roman" w:cs="Times New Roman" w:eastAsia="Times New Roman" w:hAnsi="Times New Roman"/>
                <w:sz w:val="23"/>
                <w:szCs w:val="23"/>
                <w:color w:val="auto"/>
                <w:vertAlign w:val="superscript"/>
              </w:rPr>
              <w:t>(3)</w:t>
            </w:r>
          </w:p>
        </w:tc>
        <w:tc>
          <w:tcPr>
            <w:tcW w:w="3340" w:type="dxa"/>
            <w:vAlign w:val="bottom"/>
            <w:gridSpan w:val="7"/>
            <w:shd w:val="clear" w:color="auto" w:fill="CCEEFF"/>
          </w:tcPr>
          <w:p>
            <w:pPr>
              <w:ind w:left="1940"/>
              <w:spacing w:after="0" w:line="297" w:lineRule="exact"/>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 xml:space="preserve"> ​1,097,097</w:t>
            </w: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 xml:space="preserve"> ​</w:t>
            </w:r>
          </w:p>
        </w:tc>
        <w:tc>
          <w:tcPr>
            <w:tcW w:w="3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120" w:type="dxa"/>
            <w:vAlign w:val="bottom"/>
            <w:tcBorders>
              <w:right w:val="single" w:sz="8" w:color="CCEEFF"/>
            </w:tcBorders>
            <w:gridSpan w:val="2"/>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00" w:type="dxa"/>
            <w:vAlign w:val="bottom"/>
            <w:gridSpan w:val="11"/>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1,135,644</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269,817</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30339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92" w:lineRule="exact"/>
        <w:rPr>
          <w:sz w:val="20"/>
          <w:szCs w:val="20"/>
          <w:color w:val="auto"/>
        </w:rPr>
      </w:pPr>
    </w:p>
    <w:p>
      <w:pPr>
        <w:ind w:left="1620" w:hanging="360"/>
        <w:spacing w:after="0"/>
        <w:tabs>
          <w:tab w:leader="none" w:pos="16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represented the accounts receivable for providing event production service to related parties.</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represented interest-free loan to related parties, which were due on demand.</w:t>
      </w:r>
    </w:p>
    <w:p>
      <w:pPr>
        <w:spacing w:after="0" w:line="82" w:lineRule="exact"/>
        <w:rPr>
          <w:rFonts w:ascii="Times New Roman" w:cs="Times New Roman" w:eastAsia="Times New Roman" w:hAnsi="Times New Roman"/>
          <w:sz w:val="14"/>
          <w:szCs w:val="14"/>
          <w:color w:val="auto"/>
        </w:rPr>
      </w:pPr>
    </w:p>
    <w:p>
      <w:pPr>
        <w:ind w:left="1620" w:right="479" w:hanging="360"/>
        <w:spacing w:after="0" w:line="281" w:lineRule="auto"/>
        <w:tabs>
          <w:tab w:leader="none" w:pos="16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represented the accounts receivable for providing talent management service to related parties. As dilution of equity interest after acquisition of Ninjas in Pyjamas on January 10, 2023, Wuhan Ouyue was no longer identified as a related party since then and the balance due from Wuhan Ouyue as of December 31, 2023 was recorded as accounts receivable.</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Amount due to related parties consisted of the following for the periods indicated:</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2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Tourism&amp;Sports Group</w:t>
            </w:r>
            <w:r>
              <w:rPr>
                <w:rFonts w:ascii="Times New Roman" w:cs="Times New Roman" w:eastAsia="Times New Roman" w:hAnsi="Times New Roman"/>
                <w:sz w:val="23"/>
                <w:szCs w:val="23"/>
                <w:color w:val="auto"/>
                <w:vertAlign w:val="superscript"/>
              </w:rPr>
              <w:t>(1)</w:t>
            </w:r>
          </w:p>
        </w:tc>
        <w:tc>
          <w:tcPr>
            <w:tcW w:w="94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4660" w:type="dxa"/>
            <w:vAlign w:val="bottom"/>
            <w:gridSpan w:val="2"/>
            <w:vMerge w:val="continue"/>
            <w:shd w:val="clear" w:color="auto" w:fill="CCEEFF"/>
          </w:tcPr>
          <w:p>
            <w:pPr>
              <w:spacing w:after="0"/>
              <w:rPr>
                <w:sz w:val="24"/>
                <w:szCs w:val="24"/>
                <w:color w:val="auto"/>
              </w:rPr>
            </w:pPr>
          </w:p>
        </w:tc>
        <w:tc>
          <w:tcPr>
            <w:tcW w:w="11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683,898​​ ​​$</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Shenzhen Media</w:t>
            </w:r>
            <w:r>
              <w:rPr>
                <w:rFonts w:ascii="Times New Roman" w:cs="Times New Roman" w:eastAsia="Times New Roman" w:hAnsi="Times New Roman"/>
                <w:sz w:val="23"/>
                <w:szCs w:val="23"/>
                <w:color w:val="auto"/>
                <w:vertAlign w:val="superscript"/>
              </w:rPr>
              <w:t>(2)</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290,321​​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422,540​</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 Yau Kwan Ho</w:t>
            </w:r>
            <w:r>
              <w:rPr>
                <w:rFonts w:ascii="Times New Roman" w:cs="Times New Roman" w:eastAsia="Times New Roman" w:hAnsi="Times New Roman"/>
                <w:sz w:val="23"/>
                <w:szCs w:val="23"/>
                <w:color w:val="auto"/>
                <w:vertAlign w:val="superscript"/>
              </w:rPr>
              <w:t>(3)</w:t>
            </w:r>
          </w:p>
        </w:tc>
        <w:tc>
          <w:tcPr>
            <w:tcW w:w="11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685,786​​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Xingjing Culture Media</w:t>
            </w:r>
            <w:r>
              <w:rPr>
                <w:rFonts w:ascii="Times New Roman" w:cs="Times New Roman" w:eastAsia="Times New Roman" w:hAnsi="Times New Roman"/>
                <w:sz w:val="23"/>
                <w:szCs w:val="23"/>
                <w:color w:val="auto"/>
                <w:vertAlign w:val="superscript"/>
              </w:rPr>
              <w:t>(4)</w:t>
            </w:r>
          </w:p>
        </w:tc>
        <w:tc>
          <w:tcPr>
            <w:tcW w:w="210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 ​​ ​3,484,943​​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88,650​</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Hicham Chahine</w:t>
            </w:r>
            <w:r>
              <w:rPr>
                <w:rFonts w:ascii="Times New Roman" w:cs="Times New Roman" w:eastAsia="Times New Roman" w:hAnsi="Times New Roman"/>
                <w:sz w:val="23"/>
                <w:szCs w:val="23"/>
                <w:color w:val="auto"/>
                <w:vertAlign w:val="superscript"/>
              </w:rPr>
              <w:t>(5)</w:t>
            </w:r>
          </w:p>
        </w:tc>
        <w:tc>
          <w:tcPr>
            <w:tcW w:w="11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Linyu</w:t>
            </w:r>
          </w:p>
        </w:tc>
        <w:tc>
          <w:tcPr>
            <w:tcW w:w="1140" w:type="dxa"/>
            <w:vAlign w:val="bottom"/>
            <w:gridSpan w:val="3"/>
          </w:tcPr>
          <w:p>
            <w:pPr>
              <w:ind w:left="7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60" w:type="dxa"/>
            <w:vAlign w:val="bottom"/>
            <w:gridSpan w:val="4"/>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1,383</w:t>
            </w:r>
            <w:r>
              <w:rPr>
                <w:rFonts w:ascii="Times New Roman" w:cs="Times New Roman" w:eastAsia="Times New Roman" w:hAnsi="Times New Roman"/>
                <w:sz w:val="31"/>
                <w:szCs w:val="31"/>
                <w:color w:val="auto"/>
                <w:vertAlign w:val="subscript"/>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2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 of amount due to related parties-current</w:t>
            </w:r>
          </w:p>
        </w:tc>
        <w:tc>
          <w:tcPr>
            <w:tcW w:w="2100" w:type="dxa"/>
            <w:vAlign w:val="bottom"/>
            <w:gridSpan w:val="7"/>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 ​5,146,331​​ ​​</w:t>
            </w: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​1,270,663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Shenzhen Xingjing</w:t>
            </w:r>
            <w:r>
              <w:rPr>
                <w:rFonts w:ascii="Times New Roman" w:cs="Times New Roman" w:eastAsia="Times New Roman" w:hAnsi="Times New Roman"/>
                <w:sz w:val="23"/>
                <w:szCs w:val="23"/>
                <w:color w:val="auto"/>
                <w:vertAlign w:val="superscript"/>
              </w:rPr>
              <w:t>(6)</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131,017​</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Tourism&amp;Sports Group</w:t>
            </w:r>
            <w:r>
              <w:rPr>
                <w:rFonts w:ascii="Times New Roman" w:cs="Times New Roman" w:eastAsia="Times New Roman" w:hAnsi="Times New Roman"/>
                <w:sz w:val="23"/>
                <w:szCs w:val="23"/>
                <w:color w:val="auto"/>
                <w:vertAlign w:val="superscript"/>
              </w:rPr>
              <w:t>(1)</w:t>
            </w:r>
          </w:p>
        </w:tc>
        <w:tc>
          <w:tcPr>
            <w:tcW w:w="1140" w:type="dxa"/>
            <w:vAlign w:val="bottom"/>
            <w:gridSpan w:val="3"/>
            <w:shd w:val="clear" w:color="auto" w:fill="CCEEFF"/>
          </w:tcPr>
          <w:p>
            <w:pPr>
              <w:ind w:left="760"/>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960" w:type="dxa"/>
            <w:vAlign w:val="bottom"/>
            <w:gridSpan w:val="4"/>
            <w:shd w:val="clear" w:color="auto" w:fill="CCEEFF"/>
          </w:tcPr>
          <w:p>
            <w:pPr>
              <w:jc w:val="right"/>
              <w:ind w:right="60"/>
              <w:spacing w:after="0" w:line="297" w:lineRule="exact"/>
              <w:rPr>
                <w:sz w:val="20"/>
                <w:szCs w:val="20"/>
                <w:color w:val="auto"/>
              </w:rPr>
            </w:pPr>
            <w:r>
              <w:rPr>
                <w:rFonts w:ascii="Times New Roman" w:cs="Times New Roman" w:eastAsia="Times New Roman" w:hAnsi="Times New Roman"/>
                <w:sz w:val="18"/>
                <w:szCs w:val="18"/>
                <w:color w:val="auto"/>
              </w:rPr>
              <w:t>626,906</w:t>
            </w:r>
            <w:r>
              <w:rPr>
                <w:rFonts w:ascii="Times New Roman" w:cs="Times New Roman" w:eastAsia="Times New Roman" w:hAnsi="Times New Roman"/>
                <w:sz w:val="34"/>
                <w:szCs w:val="34"/>
                <w:color w:val="auto"/>
                <w:vertAlign w:val="subscript"/>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 of amount due to related parties-non-current</w:t>
            </w:r>
          </w:p>
        </w:tc>
        <w:tc>
          <w:tcPr>
            <w:tcW w:w="1140" w:type="dxa"/>
            <w:vAlign w:val="bottom"/>
            <w:gridSpan w:val="3"/>
          </w:tcPr>
          <w:p>
            <w:pPr>
              <w:ind w:left="76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perscript"/>
              </w:rPr>
              <w:t>​</w:t>
            </w:r>
          </w:p>
        </w:tc>
        <w:tc>
          <w:tcPr>
            <w:tcW w:w="96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626,906</w:t>
            </w:r>
            <w:r>
              <w:rPr>
                <w:rFonts w:ascii="Times New Roman" w:cs="Times New Roman" w:eastAsia="Times New Roman" w:hAnsi="Times New Roman"/>
                <w:sz w:val="30"/>
                <w:szCs w:val="30"/>
                <w:b w:val="1"/>
                <w:bCs w:val="1"/>
                <w:color w:val="auto"/>
                <w:vertAlign w:val="subscript"/>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131,017</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20" w:type="dxa"/>
            <w:vAlign w:val="bottom"/>
            <w:gridSpan w:val="10"/>
            <w:shd w:val="clear" w:color="auto" w:fill="CCEEFF"/>
          </w:tcPr>
          <w:p>
            <w:pPr>
              <w:ind w:left="7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5,773,237</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1,401,680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22592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-1002030</wp:posOffset>
            </wp:positionV>
            <wp:extent cx="422592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-2082165</wp:posOffset>
            </wp:positionV>
            <wp:extent cx="42176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92" w:lineRule="exact"/>
        <w:rPr>
          <w:sz w:val="20"/>
          <w:szCs w:val="20"/>
          <w:color w:val="auto"/>
        </w:rPr>
      </w:pPr>
    </w:p>
    <w:p>
      <w:pPr>
        <w:ind w:left="1620" w:right="499" w:hanging="360"/>
        <w:spacing w:after="0" w:line="311" w:lineRule="auto"/>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represented the advertising proceeds that the Group received from the related party, which the service has not been provided by the Group as of December 31, 2022 and 2023.</w:t>
      </w:r>
    </w:p>
    <w:p>
      <w:pPr>
        <w:spacing w:after="0" w:line="1" w:lineRule="exact"/>
        <w:rPr>
          <w:rFonts w:ascii="Times New Roman" w:cs="Times New Roman" w:eastAsia="Times New Roman" w:hAnsi="Times New Roman"/>
          <w:sz w:val="14"/>
          <w:szCs w:val="14"/>
          <w:color w:val="auto"/>
        </w:rPr>
      </w:pPr>
    </w:p>
    <w:p>
      <w:pPr>
        <w:ind w:left="1620" w:right="719" w:hanging="360"/>
        <w:spacing w:after="0" w:line="292" w:lineRule="auto"/>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2021, the Group entered into a cooperation agreement with the related party and agreed to allocate 60% of the government subsidies received to the related party. As of December 31, 2022 and December 31, 2023, the balance represents government subsidies the Group received and should pay to the related party.</w:t>
      </w:r>
    </w:p>
    <w:p>
      <w:pPr>
        <w:spacing w:after="0" w:line="6" w:lineRule="exact"/>
        <w:rPr>
          <w:rFonts w:ascii="Times New Roman" w:cs="Times New Roman" w:eastAsia="Times New Roman" w:hAnsi="Times New Roman"/>
          <w:sz w:val="14"/>
          <w:szCs w:val="14"/>
          <w:color w:val="auto"/>
        </w:rPr>
      </w:pPr>
    </w:p>
    <w:p>
      <w:pPr>
        <w:ind w:left="1620" w:right="659" w:hanging="360"/>
        <w:spacing w:after="0" w:line="302" w:lineRule="auto"/>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represented the service fee for Mario Yau Kwan Ho who provided services to the reality show that hosted by the customers.</w:t>
      </w:r>
    </w:p>
    <w:p>
      <w:pPr>
        <w:spacing w:after="0" w:line="13"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represented interest-free loan from related parties for daily operations, which were due on demand.</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represented the reimbursement payable for operating expenses for Hicham Chahine.</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balances represented the long-term equity investment fund payable to Shenzhen Xingjing.</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major transactions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RELATED PARTY TRANSACTIONS — (continued)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6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7"/>
                <w:szCs w:val="17"/>
                <w:color w:val="auto"/>
              </w:rPr>
            </w:pPr>
          </w:p>
        </w:tc>
        <w:tc>
          <w:tcPr>
            <w:tcW w:w="3320" w:type="dxa"/>
            <w:vAlign w:val="bottom"/>
            <w:gridSpan w:val="7"/>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For the years ended December 31, ​</w:t>
            </w:r>
          </w:p>
        </w:tc>
      </w:tr>
      <w:tr>
        <w:trPr>
          <w:trHeight w:val="183"/>
        </w:trPr>
        <w:tc>
          <w:tcPr>
            <w:tcW w:w="1260" w:type="dxa"/>
            <w:vAlign w:val="bottom"/>
          </w:tcPr>
          <w:p>
            <w:pPr>
              <w:spacing w:after="0"/>
              <w:rPr>
                <w:sz w:val="15"/>
                <w:szCs w:val="15"/>
                <w:color w:val="auto"/>
              </w:rPr>
            </w:pP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Nature</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1260" w:type="dxa"/>
            <w:vAlign w:val="bottom"/>
          </w:tcPr>
          <w:p>
            <w:pPr>
              <w:spacing w:after="0"/>
              <w:rPr>
                <w:sz w:val="17"/>
                <w:szCs w:val="17"/>
                <w:color w:val="auto"/>
              </w:rPr>
            </w:pPr>
          </w:p>
        </w:tc>
        <w:tc>
          <w:tcPr>
            <w:tcW w:w="5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Xingjing Culture Media</w:t>
            </w:r>
          </w:p>
        </w:tc>
        <w:tc>
          <w:tcPr>
            <w:tcW w:w="2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7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17"/>
                <w:szCs w:val="17"/>
                <w:color w:val="auto"/>
              </w:rPr>
            </w:pPr>
          </w:p>
        </w:tc>
        <w:tc>
          <w:tcPr>
            <w:tcW w:w="1260" w:type="dxa"/>
            <w:vAlign w:val="bottom"/>
          </w:tcPr>
          <w:p>
            <w:pPr>
              <w:jc w:val="right"/>
              <w:ind w:right="1111"/>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Loan repayment to Xingjing Culture Media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9,912,320</w:t>
            </w:r>
          </w:p>
        </w:tc>
        <w:tc>
          <w:tcPr>
            <w:tcW w:w="2360" w:type="dxa"/>
            <w:vAlign w:val="bottom"/>
            <w:gridSpan w:val="5"/>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3,588,153 </w:t>
            </w:r>
            <w:r>
              <w:rPr>
                <w:rFonts w:ascii="Times New Roman" w:cs="Times New Roman" w:eastAsia="Times New Roman" w:hAnsi="Times New Roman"/>
                <w:sz w:val="18"/>
                <w:szCs w:val="18"/>
                <w:b w:val="1"/>
                <w:b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Xingjing Culture Media</w:t>
            </w:r>
          </w:p>
        </w:tc>
        <w:tc>
          <w:tcPr>
            <w:tcW w:w="11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 6,657,750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282,507</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Mario Yau Kwan Ho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reality show service provided by Mario Yau Kwan Ho</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667,994</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Reality show service provided by Mario Yau Kwan Ho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146,822</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loan to Mario Yau Kwan Ho</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Wuhan Ouyue</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1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​33,693,743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Wuhan Tourism&amp;Sports Group</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Sponsorships and advertising services provided by the Group</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666,156</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Shenzhen Media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43"/>
        </w:trPr>
        <w:tc>
          <w:tcPr>
            <w:tcW w:w="1260" w:type="dxa"/>
            <w:vAlign w:val="bottom"/>
          </w:tcPr>
          <w:p>
            <w:pPr>
              <w:spacing w:after="0"/>
              <w:rPr>
                <w:sz w:val="21"/>
                <w:szCs w:val="21"/>
                <w:color w:val="auto"/>
              </w:rPr>
            </w:pPr>
          </w:p>
        </w:tc>
        <w:tc>
          <w:tcPr>
            <w:tcW w:w="5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Sponsorships and advertising services provided by the Group</w:t>
            </w:r>
            <w:r>
              <w:rPr>
                <w:rFonts w:ascii="Times New Roman" w:cs="Times New Roman" w:eastAsia="Times New Roman" w:hAnsi="Times New Roman"/>
                <w:sz w:val="23"/>
                <w:szCs w:val="23"/>
                <w:color w:val="auto"/>
                <w:vertAlign w:val="superscript"/>
              </w:rPr>
              <w:t>(1)</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423,675</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59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Rental expense</w:t>
            </w:r>
            <w:r>
              <w:rPr>
                <w:rFonts w:ascii="Times New Roman" w:cs="Times New Roman" w:eastAsia="Times New Roman" w:hAnsi="Times New Roman"/>
                <w:sz w:val="23"/>
                <w:szCs w:val="23"/>
                <w:color w:val="auto"/>
                <w:vertAlign w:val="superscript"/>
              </w:rPr>
              <w:t>(1)</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641,997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610,092</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5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Event production service provided by Shenzhen Media</w:t>
            </w:r>
            <w:r>
              <w:rPr>
                <w:rFonts w:ascii="Times New Roman" w:cs="Times New Roman" w:eastAsia="Times New Roman" w:hAnsi="Times New Roman"/>
                <w:sz w:val="23"/>
                <w:szCs w:val="23"/>
                <w:color w:val="auto"/>
                <w:vertAlign w:val="superscript"/>
              </w:rPr>
              <w:t>(1)</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59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Government subsidies that should be distributed to Shenzhen Media</w:t>
            </w:r>
            <w:r>
              <w:rPr>
                <w:rFonts w:ascii="Times New Roman" w:cs="Times New Roman" w:eastAsia="Times New Roman" w:hAnsi="Times New Roman"/>
                <w:sz w:val="23"/>
                <w:szCs w:val="23"/>
                <w:color w:val="auto"/>
                <w:vertAlign w:val="superscript"/>
              </w:rPr>
              <w:t>(2)</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423,675</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government subsidies distributed to Shenzhen Media</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282,450</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capital injection</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1,486,105</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Tianjin LLP</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Loan to Tianjin LLP</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24"/>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Hainan Xingjing</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12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Collection of loan to Hainan Xingjing</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38"/>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Liwei Sun</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29"/>
        </w:trPr>
        <w:tc>
          <w:tcPr>
            <w:tcW w:w="1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Loan to Liwei Sun</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loan to Liwei Sun</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38"/>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Rui Zhou</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for operating expenses</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38"/>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Haoming Yu</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Haoming Yu</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Haoming Yu</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891,663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Haoming Yu for the Group’s operations</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609,637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for operating expenses</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624,833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38"/>
        </w:trPr>
        <w:tc>
          <w:tcPr>
            <w:tcW w:w="126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Ronghua Gu</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 ​</w:t>
            </w:r>
          </w:p>
        </w:tc>
        <w:tc>
          <w:tcPr>
            <w:tcW w:w="7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68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29"/>
        </w:trPr>
        <w:tc>
          <w:tcPr>
            <w:tcW w:w="1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Loan from Ronghua Gu</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Ronghua Gu</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891,663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Advance to Ronghua Gu for the Group’s operations</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1,854,082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for talent management service’s operating expenses</w:t>
            </w:r>
          </w:p>
        </w:tc>
        <w:tc>
          <w:tcPr>
            <w:tcW w:w="11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 2,220,121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260" w:type="dxa"/>
            <w:vAlign w:val="bottom"/>
          </w:tcPr>
          <w:p>
            <w:pPr>
              <w:spacing w:after="0"/>
              <w:rPr>
                <w:sz w:val="24"/>
                <w:szCs w:val="24"/>
                <w:color w:val="auto"/>
              </w:rPr>
            </w:pPr>
          </w:p>
        </w:tc>
        <w:tc>
          <w:tcPr>
            <w:tcW w:w="592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F-51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-3805555</wp:posOffset>
            </wp:positionV>
            <wp:extent cx="5212080" cy="2057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-3462655</wp:posOffset>
            </wp:positionV>
            <wp:extent cx="5212080" cy="2057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-3119755</wp:posOffset>
            </wp:positionV>
            <wp:extent cx="5212080" cy="21463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5212080" cy="21463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-6617335</wp:posOffset>
            </wp:positionV>
            <wp:extent cx="5212080" cy="1371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RELATED PARTY TRANSACTIONS — (continued)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 ​</w:t>
            </w:r>
          </w:p>
        </w:tc>
      </w:tr>
      <w:tr>
        <w:trPr>
          <w:trHeight w:val="183"/>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Nature</w:t>
            </w:r>
          </w:p>
        </w:tc>
        <w:tc>
          <w:tcPr>
            <w:tcW w:w="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Wuhan Linyu</w:t>
            </w:r>
          </w:p>
        </w:tc>
        <w:tc>
          <w:tcPr>
            <w:tcW w:w="22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30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18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Services provided by Wuhan Linyu</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services provided by Wuhan Linyu</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paid to Wuhan Linyu</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416,517</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3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Shenzhen Xingjing</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 services provided by the Group</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75,988</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Shenzhen Xingjing</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152,304</w:t>
            </w:r>
          </w:p>
        </w:tc>
        <w:tc>
          <w:tcPr>
            <w:tcW w:w="12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-1054100</wp:posOffset>
            </wp:positionV>
            <wp:extent cx="137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-1054100</wp:posOffset>
            </wp:positionV>
            <wp:extent cx="1371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0"/>
          <w:szCs w:val="20"/>
          <w:color w:val="auto"/>
        </w:rPr>
      </w:pPr>
    </w:p>
    <w:p>
      <w:pPr>
        <w:ind w:left="1620" w:right="1300" w:hanging="360"/>
        <w:spacing w:after="0" w:line="274" w:lineRule="auto"/>
        <w:tabs>
          <w:tab w:leader="none" w:pos="16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provided sponsorships and advertising services, event production service for this related party in exchange for the use of stadium and dormitories owned by it. Sponsorships and advertising services provided were recorded as revenue, while rental expense was recorded as cost of revenue and general and administrative expenses. Among which, the cost of revenue for</w:t>
      </w:r>
    </w:p>
    <w:p>
      <w:pPr>
        <w:spacing w:after="0" w:line="1"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ended December 31, 2022 and 2023 were $461,138 and $438,362, respectively.</w:t>
      </w:r>
    </w:p>
    <w:p>
      <w:pPr>
        <w:spacing w:after="0" w:line="82" w:lineRule="exact"/>
        <w:rPr>
          <w:rFonts w:ascii="Times New Roman" w:cs="Times New Roman" w:eastAsia="Times New Roman" w:hAnsi="Times New Roman"/>
          <w:sz w:val="14"/>
          <w:szCs w:val="14"/>
          <w:color w:val="auto"/>
        </w:rPr>
      </w:pPr>
    </w:p>
    <w:p>
      <w:pPr>
        <w:ind w:left="1620" w:right="1440" w:hanging="360"/>
        <w:spacing w:after="0" w:line="302" w:lineRule="auto"/>
        <w:tabs>
          <w:tab w:leader="none" w:pos="16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entered into a cooperation agreement with the related party and agreed to allocate 60% of the government subsidies received to the related party.</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CONCENTRATION OF CREDIT RISK</w:t>
      </w:r>
    </w:p>
    <w:p>
      <w:pPr>
        <w:spacing w:after="0" w:line="148" w:lineRule="exact"/>
        <w:rPr>
          <w:sz w:val="20"/>
          <w:szCs w:val="20"/>
          <w:color w:val="auto"/>
        </w:rPr>
      </w:pPr>
    </w:p>
    <w:p>
      <w:pPr>
        <w:ind w:left="1260" w:right="1300" w:firstLine="36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accounts receivable for expected credit losses on a regular basis and maintains an estimated allowance for credit losses to reduce its accounts receivable to the amount that it believes will be collected. The Group conducts periodic reviews of the financial condition and payment practices of its customers to minimize collection risk on accounts receivable.</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Group’s total revenue:</w:t>
      </w:r>
    </w:p>
    <w:p>
      <w:pPr>
        <w:spacing w:after="0" w:line="9"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For the years ended December 31, </w:t>
            </w:r>
            <w:r>
              <w:rPr>
                <w:rFonts w:ascii="Times New Roman" w:cs="Times New Roman" w:eastAsia="Times New Roman" w:hAnsi="Times New Roman"/>
                <w:sz w:val="28"/>
                <w:szCs w:val="28"/>
                <w:b w:val="1"/>
                <w:bCs w:val="1"/>
                <w:color w:val="auto"/>
                <w:w w:val="99"/>
                <w:vertAlign w:val="subscript"/>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revenue</w:t>
            </w:r>
          </w:p>
        </w:tc>
        <w:tc>
          <w:tcPr>
            <w:tcW w:w="1540" w:type="dxa"/>
            <w:vAlign w:val="bottom"/>
            <w:tcBorders>
              <w:top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5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2"/>
                <w:szCs w:val="22"/>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5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3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54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3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46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1662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51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2740" w:type="dxa"/>
            <w:vAlign w:val="bottom"/>
            <w:gridSpan w:val="2"/>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3520" w:type="dxa"/>
            <w:vAlign w:val="bottom"/>
            <w:vMerge w:val="continue"/>
            <w:shd w:val="clear" w:color="auto" w:fill="CCEEFF"/>
          </w:tcPr>
          <w:p>
            <w:pPr>
              <w:spacing w:after="0"/>
              <w:rPr>
                <w:sz w:val="21"/>
                <w:szCs w:val="21"/>
                <w:color w:val="auto"/>
              </w:rPr>
            </w:pPr>
          </w:p>
        </w:tc>
        <w:tc>
          <w:tcPr>
            <w:tcW w:w="274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Customer C</w:t>
            </w:r>
          </w:p>
        </w:tc>
        <w:tc>
          <w:tcPr>
            <w:tcW w:w="27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274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F-52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-1148080</wp:posOffset>
            </wp:positionV>
            <wp:extent cx="443166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5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CONCENTRATION OF CREDIT RISK — (continued)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3"/>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280" w:type="dxa"/>
            <w:vAlign w:val="bottom"/>
          </w:tcPr>
          <w:p>
            <w:pPr>
              <w:spacing w:after="0"/>
              <w:rPr>
                <w:sz w:val="18"/>
                <w:szCs w:val="18"/>
                <w:color w:val="auto"/>
              </w:rPr>
            </w:pPr>
          </w:p>
        </w:tc>
        <w:tc>
          <w:tcPr>
            <w:tcW w:w="5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4"/>
          </w:tcPr>
          <w:p>
            <w:pPr>
              <w:jc w:val="right"/>
              <w:ind w:righ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 ​</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4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3"/>
                <w:szCs w:val="23"/>
                <w:color w:val="auto"/>
              </w:rPr>
            </w:pPr>
          </w:p>
        </w:tc>
        <w:tc>
          <w:tcPr>
            <w:tcW w:w="5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gridSpan w:val="4"/>
          </w:tcPr>
          <w:p>
            <w:pPr>
              <w:jc w:val="right"/>
              <w:ind w:right="6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​62%</w:t>
            </w:r>
            <w:r>
              <w:rPr>
                <w:rFonts w:ascii="Times New Roman" w:cs="Times New Roman" w:eastAsia="Times New Roman" w:hAnsi="Times New Roman"/>
                <w:sz w:val="15"/>
                <w:szCs w:val="15"/>
                <w:b w:val="1"/>
                <w:bCs w:val="1"/>
                <w:color w:val="auto"/>
              </w:rPr>
              <w:t>​​ ​</w:t>
            </w:r>
          </w:p>
        </w:tc>
        <w:tc>
          <w:tcPr>
            <w:tcW w:w="4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​11%</w:t>
            </w:r>
            <w:r>
              <w:rPr>
                <w:rFonts w:ascii="Times New Roman" w:cs="Times New Roman" w:eastAsia="Times New Roman" w:hAnsi="Times New Roman"/>
                <w:sz w:val="28"/>
                <w:szCs w:val="28"/>
                <w:b w:val="1"/>
                <w:bCs w:val="1"/>
                <w:color w:val="auto"/>
                <w:vertAlign w:val="subscript"/>
              </w:rPr>
              <w:t>​</w:t>
            </w:r>
          </w:p>
        </w:tc>
      </w:tr>
      <w:tr>
        <w:trPr>
          <w:trHeight w:val="20"/>
        </w:trPr>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spacing w:after="0"/>
              <w:rPr>
                <w:sz w:val="19"/>
                <w:szCs w:val="19"/>
                <w:color w:val="auto"/>
              </w:rPr>
            </w:pPr>
          </w:p>
        </w:tc>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5"/>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Represent percentage less than 10%</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5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-1036320</wp:posOffset>
            </wp:positionV>
            <wp:extent cx="443166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1260" w:right="439" w:firstLine="360"/>
        <w:spacing w:after="0" w:line="277"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December 31, 2023 and through the issuance date of these consolidated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CONDENSED FINANCIAL INFORMATION OF THE PARENT COMPANY</w:t>
      </w:r>
    </w:p>
    <w:p>
      <w:pPr>
        <w:spacing w:after="0" w:line="216"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The condensed financial information of the parent company, the Company, has been prepared using the same accounting policies as set out in the Group’s consolidated financial statements except that the parent company has used equity method to account for its investment in its subsidiaries.</w:t>
      </w:r>
    </w:p>
    <w:p>
      <w:pPr>
        <w:spacing w:after="0" w:line="169"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The Company and its subsidiaries are included in the consolidated financial statements where the inter-company balances and transactions are eliminated upon consolidation. For the purpose of the Company’s stand-alone financial statements, its investments in subsidiaries are reported using the equity method of accounting. The Company’s share of losses from its subsidiaries is reported as loss from subsidiaries in the accompanying condensed financial information of parent company.</w:t>
      </w:r>
    </w:p>
    <w:p>
      <w:pPr>
        <w:spacing w:after="0" w:line="159" w:lineRule="exact"/>
        <w:rPr>
          <w:sz w:val="20"/>
          <w:szCs w:val="20"/>
          <w:color w:val="auto"/>
        </w:rPr>
      </w:pPr>
    </w:p>
    <w:p>
      <w:pPr>
        <w:ind w:left="1260" w:right="1019" w:firstLine="360"/>
        <w:spacing w:after="0" w:line="297" w:lineRule="auto"/>
        <w:rPr>
          <w:sz w:val="20"/>
          <w:szCs w:val="20"/>
          <w:color w:val="auto"/>
        </w:rPr>
      </w:pPr>
      <w:r>
        <w:rPr>
          <w:rFonts w:ascii="Times New Roman" w:cs="Times New Roman" w:eastAsia="Times New Roman" w:hAnsi="Times New Roman"/>
          <w:sz w:val="18"/>
          <w:szCs w:val="18"/>
          <w:color w:val="auto"/>
        </w:rPr>
        <w:t>The Company did not have significant capital and other commitments, long-term obligations, or guarantees as of December 31,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CONDENSED FINANCIAL INFORMATION OF THE PARENT COMPANY —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Company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8"/>
                <w:szCs w:val="18"/>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12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7,058,778​​ ​​$</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0" w:type="dxa"/>
            <w:vAlign w:val="bottom"/>
            <w:gridSpan w:val="8"/>
          </w:tcPr>
          <w:p>
            <w:pPr>
              <w:jc w:val="right"/>
              <w:ind w:right="1117"/>
              <w:spacing w:after="0"/>
              <w:rPr>
                <w:sz w:val="20"/>
                <w:szCs w:val="20"/>
                <w:color w:val="auto"/>
              </w:rPr>
            </w:pPr>
            <w:r>
              <w:rPr>
                <w:rFonts w:ascii="Times New Roman" w:cs="Times New Roman" w:eastAsia="Times New Roman" w:hAnsi="Times New Roman"/>
                <w:sz w:val="18"/>
                <w:szCs w:val="18"/>
                <w:color w:val="auto"/>
              </w:rPr>
              <w:t>5,322,080​​ ​​ ​ 11,043,642​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 investment fund receivable (Note 13)</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2,999,845​​ ​​ ​</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51,500​​ ​​ ​</w:t>
            </w:r>
          </w:p>
        </w:tc>
        <w:tc>
          <w:tcPr>
            <w:tcW w:w="520" w:type="dxa"/>
            <w:vAlign w:val="bottom"/>
          </w:tcPr>
          <w:p>
            <w:pPr>
              <w:spacing w:after="0"/>
              <w:rPr>
                <w:sz w:val="22"/>
                <w:szCs w:val="22"/>
                <w:color w:val="auto"/>
              </w:rPr>
            </w:pPr>
          </w:p>
        </w:tc>
        <w:tc>
          <w:tcPr>
            <w:tcW w:w="152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15,432,203</w:t>
            </w: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12,427,104</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2,162,836​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 69,667,459​​ ​​</w:t>
            </w:r>
          </w:p>
        </w:tc>
        <w:tc>
          <w:tcPr>
            <w:tcW w:w="2160" w:type="dxa"/>
            <w:vAlign w:val="bottom"/>
            <w:gridSpan w:val="4"/>
          </w:tcPr>
          <w:p>
            <w:pPr>
              <w:jc w:val="right"/>
              <w:ind w:right="1117"/>
              <w:spacing w:after="0"/>
              <w:rPr>
                <w:sz w:val="20"/>
                <w:szCs w:val="20"/>
                <w:color w:val="auto"/>
              </w:rPr>
            </w:pPr>
            <w:r>
              <w:rPr>
                <w:rFonts w:ascii="Times New Roman" w:cs="Times New Roman" w:eastAsia="Times New Roman" w:hAnsi="Times New Roman"/>
                <w:sz w:val="18"/>
                <w:szCs w:val="18"/>
                <w:color w:val="auto"/>
              </w:rPr>
              <w:t>​234,838,675​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69,888,459</w:t>
            </w: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​237,001,511</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80" w:type="dxa"/>
            <w:vAlign w:val="bottom"/>
            <w:gridSpan w:val="11"/>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$ 85,320,662</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249,428,615</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863,925​​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863,925​​ ​​ ​</w:t>
            </w:r>
          </w:p>
        </w:tc>
        <w:tc>
          <w:tcPr>
            <w:tcW w:w="2040" w:type="dxa"/>
            <w:vAlign w:val="bottom"/>
            <w:gridSpan w:val="3"/>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1,689,455​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gridSpan w:val="2"/>
            <w:shd w:val="clear" w:color="auto" w:fill="CCEEFF"/>
          </w:tcPr>
          <w:p>
            <w:pPr>
              <w:ind w:left="40"/>
              <w:spacing w:after="0" w:line="236"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7"/>
                <w:szCs w:val="27"/>
                <w:b w:val="1"/>
                <w:bCs w:val="1"/>
                <w:color w:val="auto"/>
                <w:vertAlign w:val="superscript"/>
              </w:rPr>
              <w:t>$</w:t>
            </w:r>
          </w:p>
        </w:tc>
        <w:tc>
          <w:tcPr>
            <w:tcW w:w="1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b w:val="1"/>
                <w:bCs w:val="1"/>
                <w:color w:val="auto"/>
              </w:rPr>
              <w:t>863,925</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1,689,455</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Mezzanine equity:</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vMerge w:val="restart"/>
          </w:tcPr>
          <w:p>
            <w:pPr>
              <w:jc w:val="right"/>
              <w:ind w:right="1117"/>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38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3"/>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redeemable preferred shares (US$0.0001 par value; 24,709,527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24,709,527 shares authorized as of December 31, 2022 and 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24,709,527 and 24,709,527 issued and outstanding as of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232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97,400,393​​ ​​ ​114,893,066​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redeemable preferred shares (US$0.0001 par value; 8,126,477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2,693,877 shares authorized as of December 31, 2022 and 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2,693,877 and 2,693,877 issued and outstanding as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35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 16,062,314​​ ​​ ​ 16,766,736​</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B-1 redeemable preferred shares (US$0.0001 par value; nil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43,044,524 shares authorized as of December 31, 2022 and 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nil and 43,044,524 issued and outstanding as of</w:t>
            </w:r>
          </w:p>
        </w:tc>
        <w:tc>
          <w:tcPr>
            <w:tcW w:w="3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8"/>
                <w:szCs w:val="18"/>
                <w:color w:val="auto"/>
              </w:rPr>
            </w:pPr>
          </w:p>
        </w:tc>
        <w:tc>
          <w:tcPr>
            <w:tcW w:w="144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​190,882,461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380" w:type="dxa"/>
            <w:vAlign w:val="bottom"/>
            <w:gridSpan w:val="3"/>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40" w:type="dxa"/>
            <w:vAlign w:val="bottom"/>
            <w:gridSpan w:val="6"/>
            <w:vMerge w:val="continue"/>
            <w:shd w:val="clear" w:color="auto" w:fill="CCEEFF"/>
          </w:tcPr>
          <w:p>
            <w:pPr>
              <w:spacing w:after="0"/>
              <w:rPr>
                <w:sz w:val="20"/>
                <w:szCs w:val="20"/>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35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​113,462,707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​322,542,263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(US$0.0001 par value; 467,163,996 and 429,552,072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authorized as of December 31, 2022 and 2023,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33,674,740 and 37,163,379 issued and outstanding as of December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 and 2023, respectively*)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3,280​​ ​​ ​</w:t>
            </w:r>
          </w:p>
        </w:tc>
        <w:tc>
          <w:tcPr>
            <w:tcW w:w="2040" w:type="dxa"/>
            <w:vAlign w:val="bottom"/>
            <w:gridSpan w:val="3"/>
          </w:tcPr>
          <w:p>
            <w:pPr>
              <w:jc w:val="right"/>
              <w:ind w:right="1117"/>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5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​(29,178,085​​) ​​ ​(80,228,473​)</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172,115​​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5,425,370</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deficit attributable to the shareholders of NIP Group Inc.</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​(29,005,970)</w:t>
            </w:r>
          </w:p>
        </w:tc>
        <w:tc>
          <w:tcPr>
            <w:tcW w:w="2160" w:type="dxa"/>
            <w:vAlign w:val="bottom"/>
            <w:gridSpan w:val="4"/>
          </w:tcPr>
          <w:p>
            <w:pPr>
              <w:jc w:val="right"/>
              <w:ind w:right="1117"/>
              <w:spacing w:after="0" w:line="196" w:lineRule="exact"/>
              <w:rPr>
                <w:sz w:val="20"/>
                <w:szCs w:val="20"/>
                <w:color w:val="auto"/>
              </w:rPr>
            </w:pPr>
            <w:r>
              <w:rPr>
                <w:rFonts w:ascii="Times New Roman" w:cs="Times New Roman" w:eastAsia="Times New Roman" w:hAnsi="Times New Roman"/>
                <w:sz w:val="18"/>
                <w:szCs w:val="18"/>
                <w:b w:val="1"/>
                <w:bCs w:val="1"/>
                <w:color w:val="auto"/>
              </w:rPr>
              <w:t>​(74,803,103)</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88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jc w:val="right"/>
              <w:ind w:right="1117"/>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deficit</w:t>
            </w:r>
          </w:p>
        </w:tc>
        <w:tc>
          <w:tcPr>
            <w:tcW w:w="2320" w:type="dxa"/>
            <w:vAlign w:val="bottom"/>
            <w:gridSpan w:val="10"/>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$ 85,320,662</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249,428,615</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3900"/>
              <w:spacing w:after="0"/>
              <w:rPr>
                <w:sz w:val="20"/>
                <w:szCs w:val="20"/>
                <w:color w:val="auto"/>
              </w:rPr>
            </w:pPr>
            <w:r>
              <w:rPr>
                <w:rFonts w:ascii="Times New Roman" w:cs="Times New Roman" w:eastAsia="Times New Roman" w:hAnsi="Times New Roman"/>
                <w:sz w:val="18"/>
                <w:szCs w:val="18"/>
                <w:color w:val="auto"/>
              </w:rPr>
              <w:t>F-54</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-856615</wp:posOffset>
            </wp:positionV>
            <wp:extent cx="457771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-2193925</wp:posOffset>
            </wp:positionV>
            <wp:extent cx="457771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-4362450</wp:posOffset>
            </wp:positionV>
            <wp:extent cx="457771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-5039995</wp:posOffset>
            </wp:positionV>
            <wp:extent cx="457771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-5674360</wp:posOffset>
            </wp:positionV>
            <wp:extent cx="457771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-6531610</wp:posOffset>
            </wp:positionV>
            <wp:extent cx="45688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23.  CONDENSED FINANCIAL INFORMATION OF THE PARENT COMPANY —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Company Statements of Operations and Comprehensive Loss: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28"/>
                <w:szCs w:val="28"/>
                <w:b w:val="1"/>
                <w:bCs w:val="1"/>
                <w:color w:val="auto"/>
                <w:vertAlign w:val="subscript"/>
              </w:rPr>
              <w:t>​</w:t>
            </w: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543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Equity in loss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p>
      <w:pPr>
        <w:spacing w:after="0" w:line="2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Company Statements of Cash Flows: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233"/>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r>
      <w:tr>
        <w:trPr>
          <w:trHeight w:val="24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(348,043​​)</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(694,745​)</w:t>
            </w:r>
          </w:p>
        </w:tc>
      </w:tr>
    </w:tbl>
    <w:p>
      <w:pPr>
        <w:ind w:left="106" w:hanging="106"/>
        <w:spacing w:after="0"/>
        <w:tabs>
          <w:tab w:leader="none" w:pos="10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​(5,937,227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​(12,589,459</w:t>
      </w:r>
      <w:r>
        <w:rPr>
          <w:rFonts w:ascii="Times New Roman" w:cs="Times New Roman" w:eastAsia="Times New Roman" w:hAnsi="Times New Roman"/>
          <w:sz w:val="18"/>
          <w:szCs w:val="18"/>
          <w:color w:val="auto"/>
        </w:rPr>
        <w:t>​)</w:t>
      </w:r>
    </w:p>
    <w:p>
      <w:pPr>
        <w:spacing w:after="0" w:line="18"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w w:val="99"/>
              </w:rPr>
              <w:t>​(6,215,681)</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​(13,258,029)</w:t>
            </w:r>
          </w:p>
        </w:tc>
        <w:tc>
          <w:tcPr>
            <w:tcW w:w="0" w:type="dxa"/>
            <w:vAlign w:val="bottom"/>
          </w:tcPr>
          <w:p>
            <w:pPr>
              <w:spacing w:after="0"/>
              <w:rPr>
                <w:sz w:val="1"/>
                <w:szCs w:val="1"/>
                <w:color w:val="auto"/>
              </w:rPr>
            </w:pPr>
          </w:p>
        </w:tc>
      </w:tr>
      <w:tr>
        <w:trPr>
          <w:trHeight w:val="54"/>
        </w:trPr>
        <w:tc>
          <w:tcPr>
            <w:tcW w:w="8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3"/>
                <w:szCs w:val="3"/>
                <w:b w:val="1"/>
                <w:bCs w:val="1"/>
                <w:color w:val="auto"/>
              </w:rPr>
              <w:t>​​</w:t>
            </w:r>
          </w:p>
        </w:tc>
        <w:tc>
          <w:tcPr>
            <w:tcW w:w="20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4"/>
          </w:tcPr>
          <w:p>
            <w:pPr>
              <w:jc w:val="right"/>
              <w:ind w:right="63"/>
              <w:spacing w:after="0" w:line="182" w:lineRule="exact"/>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(6,037,695)</w:t>
            </w:r>
          </w:p>
        </w:tc>
        <w:tc>
          <w:tcPr>
            <w:tcW w:w="2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(8,004,774)</w:t>
            </w:r>
          </w:p>
        </w:tc>
        <w:tc>
          <w:tcPr>
            <w:tcW w:w="0" w:type="dxa"/>
            <w:vAlign w:val="bottom"/>
          </w:tcPr>
          <w:p>
            <w:pPr>
              <w:spacing w:after="0"/>
              <w:rPr>
                <w:sz w:val="1"/>
                <w:szCs w:val="1"/>
                <w:color w:val="auto"/>
              </w:rPr>
            </w:pPr>
          </w:p>
        </w:tc>
      </w:tr>
      <w:tr>
        <w:trPr>
          <w:trHeight w:val="54"/>
        </w:trPr>
        <w:tc>
          <w:tcPr>
            <w:tcW w:w="80" w:type="dxa"/>
            <w:vAlign w:val="bottom"/>
            <w:vMerge w:val="continue"/>
          </w:tcPr>
          <w:p>
            <w:pPr>
              <w:spacing w:after="0"/>
              <w:rPr>
                <w:sz w:val="4"/>
                <w:szCs w:val="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800" w:type="dxa"/>
            <w:vAlign w:val="bottom"/>
          </w:tcPr>
          <w:p>
            <w:pPr>
              <w:spacing w:after="0"/>
              <w:rPr>
                <w:sz w:val="4"/>
                <w:szCs w:val="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3"/>
                <w:szCs w:val="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8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5" w:lineRule="exact"/>
        <w:rPr>
          <w:sz w:val="20"/>
          <w:szCs w:val="20"/>
          <w:color w:val="auto"/>
        </w:rPr>
      </w:pPr>
    </w:p>
    <w:p>
      <w:pPr>
        <w:sectPr>
          <w:pgSz w:w="11900" w:h="16838" w:orient="portrait"/>
          <w:cols w:equalWidth="0" w:num="2">
            <w:col w:w="6494" w:space="720"/>
            <w:col w:w="2665"/>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51"/>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212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For the years ended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(6,215,681​​)</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​​$(13,258,029​)</w:t>
            </w:r>
          </w:p>
        </w:tc>
        <w:tc>
          <w:tcPr>
            <w:tcW w:w="0" w:type="dxa"/>
            <w:vAlign w:val="bottom"/>
          </w:tcPr>
          <w:p>
            <w:pPr>
              <w:spacing w:after="0"/>
              <w:rPr>
                <w:sz w:val="1"/>
                <w:szCs w:val="1"/>
                <w:color w:val="auto"/>
              </w:rPr>
            </w:pPr>
          </w:p>
        </w:tc>
      </w:tr>
      <w:tr>
        <w:trPr>
          <w:trHeight w:val="243"/>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 ​</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loss of subsidiaries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5,937,227​​</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​12,589,459​</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​(5,322,080​​)</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(5,721,562​)</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391,208​​</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(697,955​)</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83"/>
        </w:trPr>
        <w:tc>
          <w:tcPr>
            <w:tcW w:w="588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​(5,271,408)</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(7,166,451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8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Investment in equity investees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2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​(17,400,000)</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​(17,400,000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of subscription receivable</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2,999,845​</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injection in Reorganization</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​16,309,641​</w:t>
            </w: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​12,007,678​​</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​12,007,678​​</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​18,891,135​</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6,736,270​​</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(5,675,316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322,508​​</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7,058,778​</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7"/>
                <w:szCs w:val="27"/>
                <w:b w:val="1"/>
                <w:bCs w:val="1"/>
                <w:color w:val="auto"/>
                <w:vertAlign w:val="superscript"/>
              </w:rPr>
              <w:t>$</w:t>
            </w:r>
          </w:p>
        </w:tc>
        <w:tc>
          <w:tcPr>
            <w:tcW w:w="880" w:type="dxa"/>
            <w:vAlign w:val="bottom"/>
            <w:gridSpan w:val="3"/>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b w:val="1"/>
                <w:bCs w:val="1"/>
                <w:color w:val="auto"/>
              </w:rPr>
              <w:t>7,058,778</w:t>
            </w:r>
            <w:r>
              <w:rPr>
                <w:rFonts w:ascii="Times New Roman" w:cs="Times New Roman" w:eastAsia="Times New Roman" w:hAnsi="Times New Roman"/>
                <w:sz w:val="27"/>
                <w:szCs w:val="27"/>
                <w:b w:val="1"/>
                <w:bCs w:val="1"/>
                <w:color w:val="auto"/>
                <w:vertAlign w:val="subscript"/>
              </w:rPr>
              <w:t>​​</w:t>
            </w:r>
          </w:p>
        </w:tc>
        <w:tc>
          <w:tcPr>
            <w:tcW w:w="2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7"/>
                <w:szCs w:val="27"/>
                <w:b w:val="1"/>
                <w:bCs w:val="1"/>
                <w:color w:val="auto"/>
                <w:vertAlign w:val="superscript"/>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1,383,462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59486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45948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-1490980</wp:posOffset>
            </wp:positionV>
            <wp:extent cx="45948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45948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-3059430</wp:posOffset>
            </wp:positionV>
            <wp:extent cx="45859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16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In April 2024, the Group obtained several borrowings totaling RMB 20,000,000 (approximately $2,816,941) at an annual interest rate of 15%. The balances will mature within one year.</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Group has evaluated other subsequent events through the date of issuance of the consolidated financial statements, the Group did not identify any subsequent events with material financial impact on the Group’s consolidated financial statements.</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 xml:space="preserve">INDEX TO FINANCIAL STATEMENTS </w:t>
      </w:r>
      <w:r>
        <w:rPr>
          <w:rFonts w:ascii="Times New Roman" w:cs="Times New Roman" w:eastAsia="Times New Roman" w:hAnsi="Times New Roman"/>
          <w:sz w:val="26"/>
          <w:szCs w:val="26"/>
          <w:b w:val="1"/>
          <w:bCs w:val="1"/>
          <w:color w:val="auto"/>
          <w:vertAlign w:val="superscript"/>
        </w:rPr>
        <w:t>(1)</w:t>
      </w:r>
    </w:p>
    <w:p>
      <w:pPr>
        <w:spacing w:after="0" w:line="4" w:lineRule="exact"/>
        <w:rPr>
          <w:sz w:val="20"/>
          <w:szCs w:val="20"/>
          <w:color w:val="auto"/>
        </w:rPr>
      </w:pPr>
    </w:p>
    <w:p>
      <w:pPr>
        <w:jc w:val="both"/>
        <w:ind w:left="1260"/>
        <w:spacing w:after="0"/>
        <w:tabs>
          <w:tab w:leader="none" w:pos="8300" w:val="left"/>
          <w:tab w:leader="none" w:pos="8720" w:val="left"/>
          <w:tab w:leader="none" w:pos="9440" w:val="left"/>
        </w:tabs>
        <w:rPr>
          <w:sz w:val="20"/>
          <w:szCs w:val="20"/>
          <w:color w:val="auto"/>
        </w:rPr>
      </w:pPr>
      <w:r>
        <w:rPr>
          <w:rFonts w:ascii="Times New Roman" w:cs="Times New Roman" w:eastAsia="Times New Roman" w:hAnsi="Times New Roman"/>
          <w:sz w:val="14"/>
          <w:szCs w:val="14"/>
          <w:b w:val="1"/>
          <w:bCs w:val="1"/>
          <w:color w:val="auto"/>
        </w:rPr>
        <w:t>CONTENTS</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PAGE(S)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2" w:lineRule="exact"/>
        <w:rPr>
          <w:sz w:val="20"/>
          <w:szCs w:val="20"/>
          <w:color w:val="auto"/>
        </w:rPr>
      </w:pPr>
    </w:p>
    <w:p>
      <w:pPr>
        <w:ind w:left="1260" w:right="900"/>
        <w:spacing w:after="0" w:line="289" w:lineRule="auto"/>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BALANCE SHEETS AS OF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03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right="38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STATEMENTS OF INCOME AND COMPREHENSIVE INCOME (LOSS) FOR THE YEARS ENDED DECEMBER 31, 2021 and 2022</w:t>
      </w:r>
    </w:p>
    <w:p>
      <w:pPr>
        <w:spacing w:after="0" w:line="1" w:lineRule="exact"/>
        <w:rPr>
          <w:sz w:val="20"/>
          <w:szCs w:val="20"/>
          <w:color w:val="auto"/>
        </w:rPr>
      </w:pPr>
    </w:p>
    <w:p>
      <w:pPr>
        <w:ind w:left="1440" w:right="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STATEMENTS OF CHANGES IN EQUITY FOR THE YEARS 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STATEMENTS OF CASH FLOWS FOR THE YEARS ENDED DECEMBER 31, 2021 and 2022</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F-59</w:t>
            </w:r>
            <w:r>
              <w:rPr>
                <w:rFonts w:ascii="Times New Roman" w:cs="Times New Roman" w:eastAsia="Times New Roman" w:hAnsi="Times New Roman"/>
                <w:sz w:val="18"/>
                <w:szCs w:val="18"/>
                <w:color w:val="000000"/>
              </w:rPr>
              <w:t>​</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F-60</w:t>
            </w:r>
            <w:r>
              <w:rPr>
                <w:rFonts w:ascii="Times New Roman" w:cs="Times New Roman" w:eastAsia="Times New Roman" w:hAnsi="Times New Roman"/>
                <w:sz w:val="18"/>
                <w:szCs w:val="18"/>
                <w:color w:val="000000"/>
              </w:rPr>
              <w:t>​</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F-61</w:t>
            </w:r>
            <w:r>
              <w:rPr>
                <w:rFonts w:ascii="Times New Roman" w:cs="Times New Roman" w:eastAsia="Times New Roman" w:hAnsi="Times New Roman"/>
                <w:sz w:val="18"/>
                <w:szCs w:val="18"/>
                <w:color w:val="000000"/>
              </w:rPr>
              <w:t>​</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F-62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F-75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160" w:space="160"/>
            <w:col w:w="1559"/>
          </w:cols>
          <w:pgMar w:left="580" w:top="97" w:right="1440" w:bottom="1440" w:gutter="0" w:footer="0" w:header="0"/>
          <w:type w:val="continuous"/>
        </w:sectPr>
      </w:pPr>
    </w:p>
    <w:p>
      <w:pPr>
        <w:spacing w:after="0" w:line="156" w:lineRule="exact"/>
        <w:rPr>
          <w:sz w:val="20"/>
          <w:szCs w:val="20"/>
          <w:color w:val="auto"/>
        </w:rPr>
      </w:pPr>
    </w:p>
    <w:p>
      <w:pPr>
        <w:ind w:left="1620" w:right="559" w:hanging="360"/>
        <w:spacing w:after="0" w:line="302" w:lineRule="auto"/>
        <w:tabs>
          <w:tab w:leader="none" w:pos="16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of Ninjas in Pyjamas Gaming AB are required to be filed under Rule 3-05 of Regulation S-X as Ninjas in Pyjamas Gaming AB is a material acquired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Ninjas In Pyjamas Gaming AB</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Ninjas In Pyjamas Gaming AB (the “Company”) as of December 31, 2021 and 2022, and the related statements of income and comprehensive income (loss), changes in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2021 and 2022, and the results of its operations and its cash flows for each of the two years in the period ended December 31, 2022 in conformity with accounting principles generally accepted in the United States of America.</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9" w:lineRule="exact"/>
        <w:rPr>
          <w:sz w:val="20"/>
          <w:szCs w:val="20"/>
          <w:color w:val="auto"/>
        </w:rPr>
      </w:pPr>
    </w:p>
    <w:p>
      <w:pPr>
        <w:jc w:val="right"/>
        <w:ind w:right="359"/>
        <w:spacing w:after="0"/>
        <w:tabs>
          <w:tab w:leader="none" w:pos="4240" w:val="left"/>
          <w:tab w:leader="none" w:pos="40" w:val="left"/>
        </w:tabs>
        <w:rPr>
          <w:sz w:val="20"/>
          <w:szCs w:val="20"/>
          <w:color w:val="auto"/>
        </w:rPr>
      </w:pPr>
      <w:r>
        <w:rPr>
          <w:rFonts w:ascii="Times New Roman" w:cs="Times New Roman" w:eastAsia="Times New Roman" w:hAnsi="Times New Roman"/>
          <w:sz w:val="18"/>
          <w:szCs w:val="18"/>
          <w:color w:val="auto"/>
        </w:rPr>
        <w:t>​/s/ Marcum Asia CPAs LLP</w:t>
      </w:r>
      <w:r>
        <w:rPr>
          <w:sz w:val="20"/>
          <w:szCs w:val="20"/>
          <w:color w:val="auto"/>
        </w:rPr>
        <w:tab/>
      </w: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5374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​​$1,631,203​​ ​​$1,720,731​</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​2,716,576​​ ​​ ​1,878,816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60" w:type="dxa"/>
            <w:vAlign w:val="bottom"/>
            <w:gridSpan w:val="4"/>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434,869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324,741</w:t>
            </w:r>
            <w:r>
              <w:rPr>
                <w:rFonts w:ascii="Times New Roman" w:cs="Times New Roman" w:eastAsia="Times New Roman" w:hAnsi="Times New Roman"/>
                <w:sz w:val="31"/>
                <w:szCs w:val="31"/>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7"/>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​4,782,648</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​3,924,288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99,167​​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61,583​</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556,964​​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tcPr>
          <w:p>
            <w:pPr>
              <w:spacing w:after="0"/>
              <w:rPr>
                <w:sz w:val="23"/>
                <w:szCs w:val="23"/>
                <w:color w:val="auto"/>
              </w:rPr>
            </w:pPr>
          </w:p>
        </w:tc>
        <w:tc>
          <w:tcPr>
            <w:tcW w:w="66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549,203</w:t>
            </w:r>
            <w:r>
              <w:rPr>
                <w:rFonts w:ascii="Times New Roman" w:cs="Times New Roman" w:eastAsia="Times New Roman" w:hAnsi="Times New Roman"/>
                <w:sz w:val="31"/>
                <w:szCs w:val="31"/>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168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656,131</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​1,382,039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8"/>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5,438,779</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5,306,327</w:t>
            </w:r>
            <w:r>
              <w:rPr>
                <w:rFonts w:ascii="Times New Roman" w:cs="Times New Roman" w:eastAsia="Times New Roman" w:hAnsi="Times New Roman"/>
                <w:sz w:val="28"/>
                <w:szCs w:val="28"/>
                <w:color w:val="auto"/>
                <w:vertAlign w:val="subscript"/>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586,374​​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605,497​</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920,789​​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35,333​​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171,301​</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60" w:type="dxa"/>
            <w:vAlign w:val="bottom"/>
            <w:gridSpan w:val="4"/>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749,404</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376,463</w:t>
            </w:r>
            <w:r>
              <w:rPr>
                <w:rFonts w:ascii="Times New Roman" w:cs="Times New Roman" w:eastAsia="Times New Roman" w:hAnsi="Times New Roman"/>
                <w:sz w:val="31"/>
                <w:szCs w:val="31"/>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7"/>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​2,291,900</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​1,995,487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00" w:type="dxa"/>
            <w:vAlign w:val="bottom"/>
          </w:tcPr>
          <w:p>
            <w:pPr>
              <w:spacing w:after="0"/>
              <w:rPr>
                <w:sz w:val="22"/>
                <w:szCs w:val="22"/>
                <w:color w:val="auto"/>
              </w:rPr>
            </w:pPr>
          </w:p>
        </w:tc>
        <w:tc>
          <w:tcPr>
            <w:tcW w:w="66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6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327,852</w:t>
            </w:r>
            <w:r>
              <w:rPr>
                <w:rFonts w:ascii="Times New Roman" w:cs="Times New Roman" w:eastAsia="Times New Roman" w:hAnsi="Times New Roman"/>
                <w:sz w:val="30"/>
                <w:szCs w:val="30"/>
                <w:color w:val="auto"/>
                <w:vertAlign w:val="subscript"/>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per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327,852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8"/>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2,291,900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2,323,339</w:t>
            </w:r>
            <w:r>
              <w:rPr>
                <w:rFonts w:ascii="Times New Roman" w:cs="Times New Roman" w:eastAsia="Times New Roman" w:hAnsi="Times New Roman"/>
                <w:sz w:val="28"/>
                <w:szCs w:val="28"/>
                <w:color w:val="auto"/>
                <w:vertAlign w:val="subscript"/>
              </w:rPr>
              <w:t>​</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-530860</wp:posOffset>
            </wp:positionV>
            <wp:extent cx="468884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-890905</wp:posOffset>
            </wp:positionV>
            <wp:extent cx="468884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-2245360</wp:posOffset>
            </wp:positionV>
            <wp:extent cx="468884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-2931160</wp:posOffset>
            </wp:positionV>
            <wp:extent cx="468884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468058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Ordinary shares (US$0.0490 par value; 6,400,000 shares authorized as of December 31, 2021 and 2022; 1,732,720 shares issued and outstanding as of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84,900​​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84,900​</w:t>
            </w:r>
          </w:p>
        </w:tc>
        <w:tc>
          <w:tcPr>
            <w:tcW w:w="0" w:type="dxa"/>
            <w:vAlign w:val="bottom"/>
          </w:tcPr>
          <w:p>
            <w:pPr>
              <w:spacing w:after="0"/>
              <w:rPr>
                <w:sz w:val="1"/>
                <w:szCs w:val="1"/>
                <w:color w:val="auto"/>
              </w:rPr>
            </w:pPr>
          </w:p>
        </w:tc>
      </w:tr>
      <w:tr>
        <w:trPr>
          <w:trHeight w:val="297"/>
        </w:trPr>
        <w:tc>
          <w:tcPr>
            <w:tcW w:w="13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 ​​ ​3,817,442​​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​3,817,442​</w:t>
            </w:r>
          </w:p>
        </w:tc>
        <w:tc>
          <w:tcPr>
            <w:tcW w:w="0" w:type="dxa"/>
            <w:vAlign w:val="bottom"/>
          </w:tcPr>
          <w:p>
            <w:pPr>
              <w:spacing w:after="0"/>
              <w:rPr>
                <w:sz w:val="1"/>
                <w:szCs w:val="1"/>
                <w:color w:val="auto"/>
              </w:rPr>
            </w:pPr>
          </w:p>
        </w:tc>
      </w:tr>
      <w:tr>
        <w:trPr>
          <w:trHeight w:val="189"/>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 (458,685)</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(202,126)</w:t>
            </w:r>
          </w:p>
        </w:tc>
        <w:tc>
          <w:tcPr>
            <w:tcW w:w="0" w:type="dxa"/>
            <w:vAlign w:val="bottom"/>
          </w:tcPr>
          <w:p>
            <w:pPr>
              <w:spacing w:after="0"/>
              <w:rPr>
                <w:sz w:val="1"/>
                <w:szCs w:val="1"/>
                <w:color w:val="auto"/>
              </w:rPr>
            </w:pPr>
          </w:p>
        </w:tc>
      </w:tr>
      <w:tr>
        <w:trPr>
          <w:trHeight w:val="90"/>
        </w:trPr>
        <w:tc>
          <w:tcPr>
            <w:tcW w:w="1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 (296,778)</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(717,228)</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7200" w:space="160"/>
            <w:col w:w="25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84"/>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70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​3,146,879</w:t>
            </w:r>
            <w:r>
              <w:rPr>
                <w:rFonts w:ascii="Times New Roman" w:cs="Times New Roman" w:eastAsia="Times New Roman" w:hAnsi="Times New Roman"/>
                <w:sz w:val="32"/>
                <w:szCs w:val="32"/>
                <w:b w:val="1"/>
                <w:bCs w:val="1"/>
                <w:color w:val="auto"/>
                <w:vertAlign w:val="subscript"/>
              </w:rPr>
              <w:t>​​</w:t>
            </w:r>
          </w:p>
        </w:tc>
        <w:tc>
          <w:tcPr>
            <w:tcW w:w="98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​2,982,988</w:t>
            </w:r>
            <w:r>
              <w:rPr>
                <w:rFonts w:ascii="Times New Roman" w:cs="Times New Roman" w:eastAsia="Times New Roman" w:hAnsi="Times New Roman"/>
                <w:sz w:val="32"/>
                <w:szCs w:val="32"/>
                <w:b w:val="1"/>
                <w:bCs w:val="1"/>
                <w:color w:val="auto"/>
                <w:vertAlign w:val="subscript"/>
              </w:rPr>
              <w:t>​</w:t>
            </w:r>
          </w:p>
        </w:tc>
      </w:tr>
      <w:tr>
        <w:trPr>
          <w:trHeight w:val="20"/>
        </w:trPr>
        <w:tc>
          <w:tcPr>
            <w:tcW w:w="45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5,438,779</w:t>
            </w:r>
            <w:r>
              <w:rPr>
                <w:rFonts w:ascii="Times New Roman" w:cs="Times New Roman" w:eastAsia="Times New Roman" w:hAnsi="Times New Roman"/>
                <w:sz w:val="30"/>
                <w:szCs w:val="30"/>
                <w:b w:val="1"/>
                <w:bCs w:val="1"/>
                <w:color w:val="auto"/>
                <w:vertAlign w:val="subscript"/>
              </w:rPr>
              <w:t>​​</w:t>
            </w:r>
          </w:p>
        </w:tc>
        <w:tc>
          <w:tcPr>
            <w:tcW w:w="92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5,306,327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68884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 (LOSS)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​​$ 9,398,340​​ ​​$ 7,372,837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w w:val="99"/>
              </w:rPr>
              <w:t>​(3,963,378)</w:t>
            </w:r>
          </w:p>
        </w:tc>
        <w:tc>
          <w:tcPr>
            <w:tcW w:w="8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​(3,656,848)</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7"/>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​5,434,962</w:t>
            </w:r>
            <w:r>
              <w:rPr>
                <w:rFonts w:ascii="Times New Roman" w:cs="Times New Roman" w:eastAsia="Times New Roman" w:hAnsi="Times New Roman"/>
                <w:sz w:val="30"/>
                <w:szCs w:val="30"/>
                <w:b w:val="1"/>
                <w:bCs w:val="1"/>
                <w:color w:val="auto"/>
                <w:vertAlign w:val="subscript"/>
              </w:rPr>
              <w:t>​​ ​​</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​3,715,989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w w:val="99"/>
              </w:rPr>
              <w:t>​(1,821,982)</w:t>
            </w:r>
          </w:p>
        </w:tc>
        <w:tc>
          <w:tcPr>
            <w:tcW w:w="7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7"/>
              </w:rPr>
              <w:t>​(1,712,535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00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w w:val="99"/>
              </w:rPr>
              <w:t>​(1,541,433)</w:t>
            </w:r>
          </w:p>
        </w:tc>
        <w:tc>
          <w:tcPr>
            <w:tcW w:w="8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​(1,495,070)</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​(3,363,415)</w:t>
            </w:r>
          </w:p>
        </w:tc>
        <w:tc>
          <w:tcPr>
            <w:tcW w:w="7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0"/>
              </w:rPr>
              <w:t>​(3,207,605)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0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​2,071,547​​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508,384​</w:t>
            </w:r>
          </w:p>
        </w:tc>
        <w:tc>
          <w:tcPr>
            <w:tcW w:w="0" w:type="dxa"/>
            <w:vAlign w:val="bottom"/>
          </w:tcPr>
          <w:p>
            <w:pPr>
              <w:spacing w:after="0"/>
              <w:rPr>
                <w:sz w:val="1"/>
                <w:szCs w:val="1"/>
                <w:color w:val="auto"/>
              </w:rPr>
            </w:pPr>
          </w:p>
        </w:tc>
      </w:tr>
      <w:tr>
        <w:trPr>
          <w:trHeight w:val="2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 net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income/(expenses), net</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47,776​​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(94,533​)</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20" w:type="dxa"/>
            <w:vAlign w:val="bottom"/>
            <w:gridSpan w:val="4"/>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22,777</w:t>
            </w:r>
            <w:r>
              <w:rPr>
                <w:rFonts w:ascii="Times New Roman" w:cs="Times New Roman" w:eastAsia="Times New Roman" w:hAnsi="Times New Roman"/>
                <w:sz w:val="31"/>
                <w:szCs w:val="31"/>
                <w:color w:val="auto"/>
                <w:vertAlign w:val="subscript"/>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102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70,553</w:t>
            </w:r>
            <w:r>
              <w:rPr>
                <w:rFonts w:ascii="Times New Roman" w:cs="Times New Roman" w:eastAsia="Times New Roman" w:hAnsi="Times New Roman"/>
                <w:sz w:val="30"/>
                <w:szCs w:val="30"/>
                <w:b w:val="1"/>
                <w:bCs w:val="1"/>
                <w:color w:val="auto"/>
                <w:vertAlign w:val="subscript"/>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(106,980</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​2,142,100​​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401,404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rPr>
              <w:t>(466,358)</w:t>
            </w:r>
          </w:p>
        </w:tc>
        <w:tc>
          <w:tcPr>
            <w:tcW w:w="8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(144,845)</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7"/>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$ 1,675,742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6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rPr>
              <w:t>(248,030)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(420,450)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0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other comprehensive loss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tcPr>
          <w:p>
            <w:pPr>
              <w:jc w:val="right"/>
              <w:ind w:right="128"/>
              <w:spacing w:after="0" w:line="196" w:lineRule="exact"/>
              <w:rPr>
                <w:sz w:val="20"/>
                <w:szCs w:val="20"/>
                <w:color w:val="auto"/>
              </w:rPr>
            </w:pPr>
            <w:r>
              <w:rPr>
                <w:rFonts w:ascii="Times New Roman" w:cs="Times New Roman" w:eastAsia="Times New Roman" w:hAnsi="Times New Roman"/>
                <w:sz w:val="18"/>
                <w:szCs w:val="18"/>
                <w:b w:val="1"/>
                <w:bCs w:val="1"/>
                <w:color w:val="auto"/>
              </w:rPr>
              <w:t>(248,030)</w:t>
            </w:r>
          </w:p>
        </w:tc>
        <w:tc>
          <w:tcPr>
            <w:tcW w:w="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(420,450)</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7"/>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$ 1,427,712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(163,891</w:t>
            </w:r>
          </w:p>
        </w:tc>
        <w:tc>
          <w:tcPr>
            <w:tcW w:w="60" w:type="dxa"/>
            <w:vAlign w:val="bottom"/>
          </w:tcPr>
          <w:p>
            <w:pPr>
              <w:jc w:val="right"/>
              <w:spacing w:after="0" w:line="25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65455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-916305</wp:posOffset>
            </wp:positionV>
            <wp:extent cx="465455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-1259205</wp:posOffset>
            </wp:positionV>
            <wp:extent cx="46545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-2287905</wp:posOffset>
            </wp:positionV>
            <wp:extent cx="465455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-2973705</wp:posOffset>
            </wp:positionV>
            <wp:extent cx="465455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-3316605</wp:posOffset>
            </wp:positionV>
            <wp:extent cx="464629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STATEMENTS OF CHANGES IN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restart"/>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20" w:type="dxa"/>
            <w:vAlign w:val="bottom"/>
          </w:tcPr>
          <w:p>
            <w:pPr>
              <w:spacing w:after="0"/>
              <w:rPr>
                <w:sz w:val="7"/>
                <w:szCs w:val="7"/>
                <w:color w:val="auto"/>
              </w:rPr>
            </w:pPr>
          </w:p>
        </w:tc>
        <w:tc>
          <w:tcPr>
            <w:tcW w:w="8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7"/>
                <w:szCs w:val="7"/>
                <w:color w:val="auto"/>
              </w:rPr>
            </w:pPr>
          </w:p>
        </w:tc>
        <w:tc>
          <w:tcPr>
            <w:tcW w:w="8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3"/>
              </w:rPr>
              <w:t>comprehensive</w:t>
            </w:r>
          </w:p>
        </w:tc>
        <w:tc>
          <w:tcPr>
            <w:tcW w:w="140" w:type="dxa"/>
            <w:vAlign w:val="bottom"/>
          </w:tcPr>
          <w:p>
            <w:pPr>
              <w:spacing w:after="0"/>
              <w:rPr>
                <w:sz w:val="7"/>
                <w:szCs w:val="7"/>
                <w:color w:val="auto"/>
              </w:rPr>
            </w:pPr>
          </w:p>
        </w:tc>
        <w:tc>
          <w:tcPr>
            <w:tcW w:w="80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Company’s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3"/>
          </w:tcPr>
          <w:p>
            <w:pPr>
              <w:ind w:left="10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-8255</wp:posOffset>
            </wp:positionV>
            <wp:extent cx="468058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2000" w:space="720"/>
            <w:col w:w="715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07"/>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0" w:type="dxa"/>
            <w:vAlign w:val="bottom"/>
            <w:shd w:val="clear" w:color="auto" w:fill="CCEEFF"/>
          </w:tcPr>
          <w:p>
            <w:pPr>
              <w:spacing w:after="0"/>
              <w:rPr>
                <w:sz w:val="17"/>
                <w:szCs w:val="17"/>
                <w:color w:val="auto"/>
              </w:rPr>
            </w:pPr>
          </w:p>
        </w:tc>
        <w:tc>
          <w:tcPr>
            <w:tcW w:w="3740" w:type="dxa"/>
            <w:vAlign w:val="bottom"/>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​1,706,215  $83,602  $3,850,620  $(2,134,427)  $</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(48,748)</w:t>
            </w: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$1,751,047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shd w:val="clear" w:color="auto" w:fill="CCEEFF"/>
          </w:tcPr>
          <w:p>
            <w:pPr>
              <w:spacing w:after="0"/>
              <w:rPr>
                <w:sz w:val="16"/>
                <w:szCs w:val="16"/>
                <w:color w:val="auto"/>
              </w:rPr>
            </w:pPr>
          </w:p>
        </w:tc>
        <w:tc>
          <w:tcPr>
            <w:tcW w:w="3740" w:type="dxa"/>
            <w:vAlign w:val="bottom"/>
            <w:gridSpan w:val="13"/>
            <w:vMerge w:val="continue"/>
            <w:shd w:val="clear" w:color="auto" w:fill="CCEEFF"/>
          </w:tcPr>
          <w:p>
            <w:pPr>
              <w:spacing w:after="0"/>
              <w:rPr>
                <w:sz w:val="16"/>
                <w:szCs w:val="16"/>
                <w:color w:val="auto"/>
              </w:rPr>
            </w:pPr>
          </w:p>
        </w:tc>
        <w:tc>
          <w:tcPr>
            <w:tcW w:w="660" w:type="dxa"/>
            <w:vAlign w:val="bottom"/>
            <w:tcBorders>
              <w:right w:val="single" w:sz="8" w:color="CCEEFF"/>
            </w:tcBorders>
            <w:vMerge w:val="continue"/>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2760" w:type="dxa"/>
            <w:vAlign w:val="bottom"/>
            <w:shd w:val="clear" w:color="auto" w:fill="CCEEFF"/>
          </w:tcPr>
          <w:p>
            <w:pPr>
              <w:spacing w:after="0"/>
              <w:rPr>
                <w:sz w:val="7"/>
                <w:szCs w:val="7"/>
                <w:color w:val="auto"/>
              </w:rPr>
            </w:pPr>
          </w:p>
        </w:tc>
        <w:tc>
          <w:tcPr>
            <w:tcW w:w="22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0" w:type="dxa"/>
            <w:vAlign w:val="bottom"/>
            <w:shd w:val="clear" w:color="auto" w:fill="CCEEFF"/>
          </w:tcPr>
          <w:p>
            <w:pPr>
              <w:spacing w:after="0"/>
              <w:rPr>
                <w:sz w:val="7"/>
                <w:szCs w:val="7"/>
                <w:color w:val="auto"/>
              </w:rPr>
            </w:pPr>
          </w:p>
        </w:tc>
        <w:tc>
          <w:tcPr>
            <w:tcW w:w="40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2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0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12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660" w:type="dxa"/>
            <w:vAlign w:val="bottom"/>
            <w:tcBorders>
              <w:right w:val="single" w:sz="8" w:color="CCEEFF"/>
            </w:tcBorders>
            <w:shd w:val="clear" w:color="auto" w:fill="CCEEFF"/>
          </w:tcPr>
          <w:p>
            <w:pPr>
              <w:spacing w:after="0"/>
              <w:rPr>
                <w:sz w:val="7"/>
                <w:szCs w:val="7"/>
                <w:color w:val="auto"/>
              </w:rPr>
            </w:pPr>
          </w:p>
        </w:tc>
        <w:tc>
          <w:tcPr>
            <w:tcW w:w="34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from shareholders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48,505​​​​ ​ 2,376​​​​ ​</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344​​​​ ​</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Withdrawal of capital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w:t>
            </w:r>
          </w:p>
        </w:tc>
        <w:tc>
          <w:tcPr>
            <w:tcW w:w="18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(22,000​​​​) ​(1,078​​​​) ​</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(33,522​​​​) ​</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​1,675,742​​​ ​ ​</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​1,675,742​</w:t>
            </w: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​(248,030)​​​​ ​ (248,030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0" w:type="dxa"/>
            <w:vAlign w:val="bottom"/>
          </w:tcPr>
          <w:p>
            <w:pPr>
              <w:spacing w:after="0"/>
              <w:rPr>
                <w:sz w:val="17"/>
                <w:szCs w:val="17"/>
                <w:color w:val="auto"/>
              </w:rPr>
            </w:pPr>
          </w:p>
        </w:tc>
        <w:tc>
          <w:tcPr>
            <w:tcW w:w="27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​1,732,720  $84,900  $3,817,442  $</w:t>
            </w:r>
          </w:p>
        </w:tc>
        <w:tc>
          <w:tcPr>
            <w:tcW w:w="17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(458,685)  $ (296,778)</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$3,146,879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760" w:type="dxa"/>
            <w:vAlign w:val="bottom"/>
          </w:tcPr>
          <w:p>
            <w:pPr>
              <w:spacing w:after="0"/>
              <w:rPr>
                <w:sz w:val="5"/>
                <w:szCs w:val="5"/>
                <w:color w:val="auto"/>
              </w:rPr>
            </w:pPr>
          </w:p>
        </w:tc>
        <w:tc>
          <w:tcPr>
            <w:tcW w:w="2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0" w:type="dxa"/>
            <w:vAlign w:val="bottom"/>
          </w:tcPr>
          <w:p>
            <w:pPr>
              <w:spacing w:after="0"/>
              <w:rPr>
                <w:sz w:val="5"/>
                <w:szCs w:val="5"/>
                <w:color w:val="auto"/>
              </w:rPr>
            </w:pPr>
          </w:p>
        </w:tc>
        <w:tc>
          <w:tcPr>
            <w:tcW w:w="4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20" w:type="dxa"/>
            <w:vAlign w:val="bottom"/>
          </w:tcPr>
          <w:p>
            <w:pPr>
              <w:spacing w:after="0"/>
              <w:rPr>
                <w:sz w:val="5"/>
                <w:szCs w:val="5"/>
                <w:color w:val="auto"/>
              </w:rPr>
            </w:pPr>
          </w:p>
        </w:tc>
        <w:tc>
          <w:tcPr>
            <w:tcW w:w="320" w:type="dxa"/>
            <w:vAlign w:val="bottom"/>
            <w:gridSpan w:val="2"/>
          </w:tcPr>
          <w:p>
            <w:pPr>
              <w:jc w:val="right"/>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tcPr>
          <w:p>
            <w:pPr>
              <w:spacing w:after="0"/>
              <w:rPr>
                <w:sz w:val="5"/>
                <w:szCs w:val="5"/>
                <w:color w:val="auto"/>
              </w:rPr>
            </w:pPr>
          </w:p>
        </w:tc>
        <w:tc>
          <w:tcPr>
            <w:tcW w:w="300" w:type="dxa"/>
            <w:vAlign w:val="bottom"/>
            <w:gridSpan w:val="2"/>
          </w:tcPr>
          <w:p>
            <w:pPr>
              <w:jc w:val="right"/>
              <w:ind w:right="1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00" w:type="dxa"/>
            <w:vAlign w:val="bottom"/>
          </w:tcPr>
          <w:p>
            <w:pPr>
              <w:spacing w:after="0"/>
              <w:rPr>
                <w:sz w:val="5"/>
                <w:szCs w:val="5"/>
                <w:color w:val="auto"/>
              </w:rPr>
            </w:pPr>
          </w:p>
        </w:tc>
        <w:tc>
          <w:tcPr>
            <w:tcW w:w="340" w:type="dxa"/>
            <w:vAlign w:val="bottom"/>
            <w:gridSpan w:val="2"/>
          </w:tcPr>
          <w:p>
            <w:pPr>
              <w:jc w:val="right"/>
              <w:ind w:right="12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660" w:type="dxa"/>
            <w:vAlign w:val="bottom"/>
          </w:tcPr>
          <w:p>
            <w:pPr>
              <w:spacing w:after="0"/>
              <w:rPr>
                <w:sz w:val="5"/>
                <w:szCs w:val="5"/>
                <w:color w:val="auto"/>
              </w:rPr>
            </w:pPr>
          </w:p>
        </w:tc>
        <w:tc>
          <w:tcPr>
            <w:tcW w:w="3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256,559​​​ ​ </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7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​(420,450)​​​​ ​ (420,450​)</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0" w:type="dxa"/>
            <w:vAlign w:val="bottom"/>
            <w:shd w:val="clear" w:color="auto" w:fill="CCEEFF"/>
          </w:tcPr>
          <w:p>
            <w:pPr>
              <w:spacing w:after="0"/>
              <w:rPr>
                <w:sz w:val="18"/>
                <w:szCs w:val="18"/>
                <w:color w:val="auto"/>
              </w:rPr>
            </w:pPr>
          </w:p>
        </w:tc>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​1,732,720  $84,900  $3,817,442  $</w:t>
            </w:r>
          </w:p>
        </w:tc>
        <w:tc>
          <w:tcPr>
            <w:tcW w:w="17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(202,126)  $ (717,228)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$2,982,988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2760" w:type="dxa"/>
            <w:vAlign w:val="bottom"/>
            <w:shd w:val="clear" w:color="auto" w:fill="CCEEFF"/>
          </w:tcPr>
          <w:p>
            <w:pPr>
              <w:spacing w:after="0"/>
              <w:rPr>
                <w:sz w:val="6"/>
                <w:szCs w:val="6"/>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600" w:type="dxa"/>
            <w:vAlign w:val="bottom"/>
            <w:shd w:val="clear" w:color="auto" w:fill="CCEEFF"/>
          </w:tcPr>
          <w:p>
            <w:pPr>
              <w:spacing w:after="0"/>
              <w:rPr>
                <w:sz w:val="6"/>
                <w:szCs w:val="6"/>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32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3"/>
                <w:szCs w:val="3"/>
                <w:b w:val="1"/>
                <w:bCs w:val="1"/>
                <w:color w:val="auto"/>
              </w:rPr>
              <w:t>​​​​</w:t>
            </w:r>
          </w:p>
        </w:tc>
        <w:tc>
          <w:tcPr>
            <w:tcW w:w="62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3"/>
                <w:szCs w:val="3"/>
                <w:b w:val="1"/>
                <w:bCs w:val="1"/>
                <w:color w:val="auto"/>
              </w:rPr>
              <w:t>​​​​</w:t>
            </w:r>
          </w:p>
        </w:tc>
        <w:tc>
          <w:tcPr>
            <w:tcW w:w="70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3"/>
                <w:szCs w:val="3"/>
                <w:b w:val="1"/>
                <w:bCs w:val="1"/>
                <w:color w:val="auto"/>
              </w:rPr>
              <w:t>​​​ ​</w:t>
            </w:r>
          </w:p>
        </w:tc>
        <w:tc>
          <w:tcPr>
            <w:tcW w:w="660" w:type="dxa"/>
            <w:vAlign w:val="bottom"/>
            <w:tcBorders>
              <w:right w:val="single" w:sz="8" w:color="CCEEFF"/>
            </w:tcBorders>
            <w:shd w:val="clear" w:color="auto" w:fill="CCEEFF"/>
          </w:tcPr>
          <w:p>
            <w:pPr>
              <w:spacing w:after="0"/>
              <w:rPr>
                <w:sz w:val="6"/>
                <w:szCs w:val="6"/>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6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-213995</wp:posOffset>
            </wp:positionV>
            <wp:extent cx="12890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-213995</wp:posOffset>
            </wp:positionV>
            <wp:extent cx="1111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-213995</wp:posOffset>
            </wp:positionV>
            <wp:extent cx="768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-213995</wp:posOffset>
            </wp:positionV>
            <wp:extent cx="774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34886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-693420</wp:posOffset>
            </wp:positionV>
            <wp:extent cx="1289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-693420</wp:posOffset>
            </wp:positionV>
            <wp:extent cx="11112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-693420</wp:posOffset>
            </wp:positionV>
            <wp:extent cx="768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-693420</wp:posOffset>
            </wp:positionV>
            <wp:extent cx="7747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-693420</wp:posOffset>
            </wp:positionV>
            <wp:extent cx="234886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​​$ 1,675,742​​ ​​$</w:t>
            </w:r>
          </w:p>
        </w:tc>
        <w:tc>
          <w:tcPr>
            <w:tcW w:w="1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256,559​</w:t>
            </w:r>
          </w:p>
        </w:tc>
        <w:tc>
          <w:tcPr>
            <w:tcW w:w="0" w:type="dxa"/>
            <w:vAlign w:val="bottom"/>
          </w:tcPr>
          <w:p>
            <w:pPr>
              <w:spacing w:after="0"/>
              <w:rPr>
                <w:sz w:val="1"/>
                <w:szCs w:val="1"/>
                <w:color w:val="auto"/>
              </w:rPr>
            </w:pPr>
          </w:p>
        </w:tc>
      </w:tr>
      <w:tr>
        <w:trPr>
          <w:trHeight w:val="257"/>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 ​</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6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10,466​​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246,917​​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2"/>
                <w:szCs w:val="22"/>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Gain on disposal of intangible assets</w:t>
            </w:r>
          </w:p>
        </w:tc>
        <w:tc>
          <w:tcPr>
            <w:tcW w:w="1220" w:type="dxa"/>
            <w:vAlign w:val="bottom"/>
            <w:vMerge w:val="restart"/>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(127,112)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(445,790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000" w:type="dxa"/>
            <w:vAlign w:val="bottom"/>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center"/>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429,096​​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12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6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​(2,120,764)</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492,476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gridSpan w:val="2"/>
          </w:tcPr>
          <w:p>
            <w:pPr>
              <w:jc w:val="center"/>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vMerge w:val="restart"/>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(129,053)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48,994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00" w:type="dxa"/>
            <w:vAlign w:val="bottom"/>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center"/>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680,126​​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(149,634​)</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618,395​​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37,262​​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6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17"/>
                <w:szCs w:val="17"/>
                <w:color w:val="auto"/>
              </w:rPr>
              <w:t>458,398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7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(282,883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968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-2631440</wp:posOffset>
            </wp:positionV>
            <wp:extent cx="464629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disposal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FORM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from shareholders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Withdrawal of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03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057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paid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p>
      <w:pPr>
        <w:spacing w:after="0" w:line="54"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1300" w:type="dxa"/>
            <w:vAlign w:val="bottom"/>
            <w:gridSpan w:val="6"/>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$ 1,779,473</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565,316</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(733,572)</w:t>
            </w:r>
          </w:p>
        </w:tc>
        <w:tc>
          <w:tcPr>
            <w:tcW w:w="80" w:type="dxa"/>
            <w:vAlign w:val="bottom"/>
          </w:tcPr>
          <w:p>
            <w:pPr>
              <w:spacing w:after="0"/>
              <w:rPr>
                <w:sz w:val="16"/>
                <w:szCs w:val="16"/>
                <w:color w:val="auto"/>
              </w:rPr>
            </w:pPr>
          </w:p>
        </w:tc>
        <w:tc>
          <w:tcPr>
            <w:tcW w:w="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​(1,060,170)</w:t>
            </w:r>
          </w:p>
        </w:tc>
        <w:tc>
          <w:tcPr>
            <w:tcW w:w="0" w:type="dxa"/>
            <w:vAlign w:val="bottom"/>
          </w:tcPr>
          <w:p>
            <w:pPr>
              <w:spacing w:after="0"/>
              <w:rPr>
                <w:sz w:val="1"/>
                <w:szCs w:val="1"/>
                <w:color w:val="auto"/>
              </w:rPr>
            </w:pPr>
          </w:p>
        </w:tc>
      </w:tr>
      <w:tr>
        <w:trPr>
          <w:trHeight w:val="90"/>
        </w:trPr>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8"/>
        </w:trPr>
        <w:tc>
          <w:tcPr>
            <w:tcW w:w="34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6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15"/>
                <w:szCs w:val="15"/>
                <w:color w:val="auto"/>
              </w:rPr>
              <w:t>178,937</w:t>
            </w:r>
            <w:r>
              <w:rPr>
                <w:rFonts w:ascii="Times New Roman" w:cs="Times New Roman" w:eastAsia="Times New Roman" w:hAnsi="Times New Roman"/>
                <w:sz w:val="28"/>
                <w:szCs w:val="28"/>
                <w:color w:val="auto"/>
                <w:vertAlign w:val="subscript"/>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807,586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(554,635)  $</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(252,584)</w:t>
            </w:r>
          </w:p>
        </w:tc>
        <w:tc>
          <w:tcPr>
            <w:tcW w:w="0" w:type="dxa"/>
            <w:vAlign w:val="bottom"/>
          </w:tcPr>
          <w:p>
            <w:pPr>
              <w:spacing w:after="0"/>
              <w:rPr>
                <w:sz w:val="1"/>
                <w:szCs w:val="1"/>
                <w:color w:val="auto"/>
              </w:rPr>
            </w:pPr>
          </w:p>
        </w:tc>
      </w:tr>
      <w:tr>
        <w:trPr>
          <w:trHeight w:val="68"/>
        </w:trPr>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2,720​​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(34,600)</w:t>
            </w:r>
          </w:p>
        </w:tc>
        <w:tc>
          <w:tcPr>
            <w:tcW w:w="80" w:type="dxa"/>
            <w:vAlign w:val="bottom"/>
          </w:tcPr>
          <w:p>
            <w:pPr>
              <w:spacing w:after="0"/>
              <w:rPr>
                <w:sz w:val="16"/>
                <w:szCs w:val="16"/>
                <w:color w:val="auto"/>
              </w:rPr>
            </w:pP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w w:val="77"/>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(31,880)  $</w:t>
            </w: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(113,307)</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(223,204)</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​1,079,651​​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89,528​</w:t>
            </w:r>
          </w:p>
        </w:tc>
        <w:tc>
          <w:tcPr>
            <w:tcW w:w="0" w:type="dxa"/>
            <w:vAlign w:val="bottom"/>
          </w:tcPr>
          <w:p>
            <w:pPr>
              <w:spacing w:after="0"/>
              <w:rPr>
                <w:sz w:val="1"/>
                <w:szCs w:val="1"/>
                <w:color w:val="auto"/>
              </w:rPr>
            </w:pPr>
          </w:p>
        </w:tc>
      </w:tr>
      <w:tr>
        <w:trPr>
          <w:trHeight w:val="256"/>
        </w:trPr>
        <w:tc>
          <w:tcPr>
            <w:tcW w:w="3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60" w:type="dxa"/>
            <w:vAlign w:val="bottom"/>
            <w:gridSpan w:val="3"/>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551,552</w:t>
            </w:r>
            <w:r>
              <w:rPr>
                <w:rFonts w:ascii="Times New Roman" w:cs="Times New Roman" w:eastAsia="Times New Roman" w:hAnsi="Times New Roman"/>
                <w:sz w:val="29"/>
                <w:szCs w:val="29"/>
                <w:color w:val="auto"/>
                <w:vertAlign w:val="subscript"/>
              </w:rPr>
              <w:t>​​ ​​</w:t>
            </w:r>
          </w:p>
        </w:tc>
        <w:tc>
          <w:tcPr>
            <w:tcW w:w="8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​1,631,203</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$ 1,631,203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$ 1,720,731</w:t>
      </w:r>
      <w:r>
        <w:rPr>
          <w:rFonts w:ascii="Times New Roman" w:cs="Times New Roman" w:eastAsia="Times New Roman" w:hAnsi="Times New Roman"/>
          <w:sz w:val="35"/>
          <w:szCs w:val="35"/>
          <w:color w:val="auto"/>
          <w:vertAlign w:val="subscript"/>
        </w:rPr>
        <w:t>​</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549,203​</w:t>
            </w:r>
          </w:p>
        </w:tc>
      </w:tr>
    </w:tbl>
    <w:p>
      <w:pPr>
        <w:spacing w:after="0" w:line="63" w:lineRule="exact"/>
        <w:rPr>
          <w:sz w:val="20"/>
          <w:szCs w:val="20"/>
          <w:color w:val="auto"/>
        </w:rPr>
      </w:pPr>
    </w:p>
    <w:p>
      <w:pPr>
        <w:sectPr>
          <w:pgSz w:w="11900" w:h="16838" w:orient="portrait"/>
          <w:cols w:equalWidth="0" w:num="2">
            <w:col w:w="6980" w:space="400"/>
            <w:col w:w="2499"/>
          </w:cols>
          <w:pgMar w:left="580" w:top="97" w:right="1440"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16" w:lineRule="exact"/>
        <w:rPr>
          <w:sz w:val="20"/>
          <w:szCs w:val="20"/>
          <w:color w:val="auto"/>
        </w:rPr>
      </w:pPr>
    </w:p>
    <w:p>
      <w:pPr>
        <w:ind w:left="1620" w:hanging="360"/>
        <w:spacing w:after="0"/>
        <w:tabs>
          <w:tab w:leader="none" w:pos="1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1260" w:right="1260" w:firstLine="360"/>
        <w:spacing w:after="0" w:line="258" w:lineRule="auto"/>
        <w:rPr>
          <w:sz w:val="20"/>
          <w:szCs w:val="20"/>
          <w:color w:val="auto"/>
        </w:rPr>
      </w:pPr>
      <w:r>
        <w:rPr>
          <w:rFonts w:ascii="Times New Roman" w:cs="Times New Roman" w:eastAsia="Times New Roman" w:hAnsi="Times New Roman"/>
          <w:sz w:val="18"/>
          <w:szCs w:val="18"/>
          <w:color w:val="auto"/>
        </w:rPr>
        <w:t>Ninjas in Pyjamas Gaming AB (“NIP”) was established under the laws of Sweden in January, 2014. NIP was a private company and primarily engages in Esports club operation, as well as production and sales of clothing and computer accessories in Stockholm, Sweden. NIP is recognized as one of the most renowned professional electronic sports brands in the world, most notably known for its history in the game of Counter-Strike.</w:t>
      </w:r>
    </w:p>
    <w:p>
      <w:pPr>
        <w:spacing w:after="0" w:line="193" w:lineRule="exact"/>
        <w:rPr>
          <w:sz w:val="20"/>
          <w:szCs w:val="20"/>
          <w:color w:val="auto"/>
        </w:rPr>
      </w:pPr>
    </w:p>
    <w:p>
      <w:pPr>
        <w:ind w:left="1620" w:hanging="360"/>
        <w:spacing w:after="0"/>
        <w:tabs>
          <w:tab w:leader="none" w:pos="162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48" w:lineRule="exact"/>
        <w:rPr>
          <w:sz w:val="20"/>
          <w:szCs w:val="20"/>
          <w:color w:val="auto"/>
        </w:rPr>
      </w:pPr>
    </w:p>
    <w:p>
      <w:pPr>
        <w:ind w:left="1260" w:right="2000" w:firstLine="3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prepared in accordance with accounting principles generally accepted in the United States of America (“U.S. GAAP”).</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48" w:lineRule="exact"/>
        <w:rPr>
          <w:sz w:val="20"/>
          <w:szCs w:val="20"/>
          <w:color w:val="auto"/>
        </w:rPr>
      </w:pPr>
    </w:p>
    <w:p>
      <w:pPr>
        <w:ind w:left="1260" w:right="1300" w:firstLine="360"/>
        <w:spacing w:after="0" w:line="255"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financial statements and accompanying notes. Significant accounting estimates include, but not limited to, allowance for doubtful accounts, depreciable lives and recoverability of property and equipment and intangible assets. Changes in facts and circumstances may result in revised estimates. Actual results could differ from those estimates, and as such, differences may be material to the financial statements.</w:t>
      </w: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Cash and cash equivalents</w:t>
      </w:r>
    </w:p>
    <w:p>
      <w:pPr>
        <w:spacing w:after="0" w:line="162" w:lineRule="exact"/>
        <w:rPr>
          <w:sz w:val="20"/>
          <w:szCs w:val="20"/>
          <w:color w:val="auto"/>
        </w:rPr>
      </w:pPr>
    </w:p>
    <w:p>
      <w:pPr>
        <w:ind w:left="1260" w:right="1340" w:firstLine="36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 and highly liquid investments which are unrestricted as to withdrawal and use and have original maturities of less than three months.</w:t>
      </w:r>
    </w:p>
    <w:p>
      <w:pPr>
        <w:spacing w:after="0" w:line="9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the original amount less an allowance for doubtful receivables. Accounts receivable are recognized in the period when NIP has provided services to its customers and when its right to consideration is unconditional. NIP reviews the accounts receivable on a periodic basis and makes general and specific allowances when there is doubt as to the collectability of individual balances. NIP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148" w:lineRule="exact"/>
        <w:rPr>
          <w:sz w:val="20"/>
          <w:szCs w:val="20"/>
          <w:color w:val="auto"/>
        </w:rPr>
      </w:pPr>
    </w:p>
    <w:p>
      <w:pPr>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2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1620" w:type="dxa"/>
            <w:vAlign w:val="bottom"/>
          </w:tcPr>
          <w:p>
            <w:pPr>
              <w:spacing w:after="0"/>
              <w:rPr>
                <w:sz w:val="17"/>
                <w:szCs w:val="17"/>
                <w:color w:val="auto"/>
              </w:rPr>
            </w:pPr>
          </w:p>
        </w:tc>
        <w:tc>
          <w:tcPr>
            <w:tcW w:w="1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tcPr>
          <w:p>
            <w:pPr>
              <w:jc w:val="center"/>
              <w:ind w:right="16"/>
              <w:spacing w:after="0" w:line="205" w:lineRule="exact"/>
              <w:rPr>
                <w:sz w:val="20"/>
                <w:szCs w:val="20"/>
                <w:color w:val="auto"/>
              </w:rPr>
            </w:pPr>
            <w:r>
              <w:rPr>
                <w:rFonts w:ascii="Times New Roman" w:cs="Times New Roman" w:eastAsia="Times New Roman" w:hAnsi="Times New Roman"/>
                <w:sz w:val="18"/>
                <w:szCs w:val="18"/>
                <w:color w:val="auto"/>
              </w:rPr>
              <w:t>Leasehold improvement</w:t>
            </w:r>
          </w:p>
        </w:tc>
        <w:tc>
          <w:tcPr>
            <w:tcW w:w="2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10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Shorter of the lease term or the estimated useful life of the assets</w:t>
            </w:r>
          </w:p>
        </w:tc>
        <w:tc>
          <w:tcPr>
            <w:tcW w:w="1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475"/>
        </w:trPr>
        <w:tc>
          <w:tcPr>
            <w:tcW w:w="1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Electronic equipment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5 years</w:t>
            </w:r>
          </w:p>
        </w:tc>
        <w:tc>
          <w:tcPr>
            <w:tcW w:w="42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07"/>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F-62</w:t>
            </w: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statements of income.</w:t>
      </w:r>
    </w:p>
    <w:p>
      <w:pPr>
        <w:spacing w:after="0" w:line="106" w:lineRule="exact"/>
        <w:rPr>
          <w:sz w:val="20"/>
          <w:szCs w:val="20"/>
          <w:color w:val="auto"/>
        </w:rPr>
      </w:pPr>
    </w:p>
    <w:p>
      <w:pPr>
        <w:ind w:left="1620" w:hanging="360"/>
        <w:spacing w:after="0"/>
        <w:tabs>
          <w:tab w:leader="none" w:pos="1620" w:val="left"/>
        </w:tabs>
        <w:numPr>
          <w:ilvl w:val="0"/>
          <w:numId w:val="1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any recorded impairment. Estimated useful lives by intangible asset classes are as follows:</w:t>
      </w: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lives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top w:val="single" w:sz="8" w:color="auto"/>
            </w:tcBorders>
          </w:tcPr>
          <w:p>
            <w:pPr>
              <w:jc w:val="center"/>
              <w:ind w:right="419"/>
              <w:spacing w:after="0"/>
              <w:rPr>
                <w:sz w:val="20"/>
                <w:szCs w:val="20"/>
                <w:color w:val="auto"/>
              </w:rPr>
            </w:pPr>
            <w:r>
              <w:rPr>
                <w:rFonts w:ascii="Times New Roman" w:cs="Times New Roman" w:eastAsia="Times New Roman" w:hAnsi="Times New Roman"/>
                <w:sz w:val="18"/>
                <w:szCs w:val="18"/>
                <w:color w:val="auto"/>
              </w:rPr>
              <w:t>Talent acquisition costs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 – 3 years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estimated useful lives of intangible assets with finite lives are reassessed if circumstances occur that indicate the original estimated useful lives may have changed.</w:t>
      </w:r>
    </w:p>
    <w:p>
      <w:pPr>
        <w:spacing w:after="0" w:line="81"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NIP capitalizes costs associated with the acquisition of esports players and amortizes these costs straight-line over their estimated useful lives, which reflect the contractual term of the associated player agreement.</w:t>
      </w:r>
    </w:p>
    <w:p>
      <w:pPr>
        <w:spacing w:after="0" w:line="10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NIP reviews for the impairment of long-lived assets whenever events or changes in circumstances indicate that the carrying amount of an asset may not be recoverable. NIP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NIP to make assumptions about future cash flows over the life of the asset being evaluated. These assumptions require significant judgment and actual results may differ from assumed and estimated amounts. NIP did not record any impairment charge for the years ended December 31, 2021 and 2022.</w:t>
      </w:r>
    </w:p>
    <w:p>
      <w:pPr>
        <w:spacing w:after="0" w:line="31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 January 1, 2020, NIP adopted Accounting Standards Codification (“ASC”) 606 using the modified retrospective approach.</w:t>
      </w:r>
    </w:p>
    <w:p>
      <w:pPr>
        <w:spacing w:after="0" w:line="95" w:lineRule="exact"/>
        <w:rPr>
          <w:sz w:val="20"/>
          <w:szCs w:val="20"/>
          <w:color w:val="auto"/>
        </w:rPr>
      </w:pPr>
    </w:p>
    <w:p>
      <w:pPr>
        <w:ind w:left="1260" w:right="959" w:firstLine="360"/>
        <w:spacing w:after="0" w:line="246" w:lineRule="auto"/>
        <w:rPr>
          <w:sz w:val="20"/>
          <w:szCs w:val="20"/>
          <w:color w:val="auto"/>
        </w:rPr>
      </w:pPr>
      <w:r>
        <w:rPr>
          <w:rFonts w:ascii="Times New Roman" w:cs="Times New Roman" w:eastAsia="Times New Roman" w:hAnsi="Times New Roman"/>
          <w:sz w:val="18"/>
          <w:szCs w:val="18"/>
          <w:color w:val="auto"/>
        </w:rPr>
        <w:t>NIP recognizes revenue under Accounting Standards Codification (“ASC”) 606, Revenue from Contracts with Customers. The core principle of the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14"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1:</w:t>
        <w:tab/>
        <w:t>Identify the contract with the customer</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2:</w:t>
        <w:tab/>
        <w:t>Identify the performance obligations in the contract</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3:</w:t>
        <w:tab/>
        <w:t>Determine the transaction price</w:t>
      </w:r>
    </w:p>
    <w:p>
      <w:pPr>
        <w:spacing w:after="0" w:line="144"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Step 4:</w:t>
        <w:tab/>
        <w:t>Allocate the transaction price to the performance obligations in the contract</w:t>
      </w:r>
    </w:p>
    <w:p>
      <w:pPr>
        <w:spacing w:after="0" w:line="158"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Step 5:</w:t>
        <w:tab/>
        <w:t>Recognize revenue when the company satisfies a performance obligation</w:t>
      </w:r>
    </w:p>
    <w:p>
      <w:pPr>
        <w:spacing w:after="0" w:line="15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These criteria as they relate to each of the following major revenue generating activities are described below. Net revenue is presented net of value added taxes (“VAT”).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0" w:name="page271"/>
    <w:bookmarkEnd w:id="2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tcPr>
          <w:p>
            <w:pPr>
              <w:jc w:val="right"/>
              <w:ind w:right="46"/>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Esports club operation</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Tournament participation of Esports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$3,684,888</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$2,398,462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33</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0" w:type="dxa"/>
            <w:vAlign w:val="bottom"/>
            <w:shd w:val="clear" w:color="auto" w:fill="CCEEFF"/>
          </w:tcPr>
          <w:p>
            <w:pPr>
              <w:jc w:val="right"/>
              <w:ind w:righ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Sponsorships and advertising</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​1,772,378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​2,414,825</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jc w:val="right"/>
              <w:ind w:righ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IP licensing</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​3,659,761</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​1,722,462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23</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0" w:type="dxa"/>
            <w:vAlign w:val="bottom"/>
            <w:shd w:val="clear" w:color="auto" w:fill="CCEEFF"/>
          </w:tcPr>
          <w:p>
            <w:pPr>
              <w:jc w:val="right"/>
              <w:ind w:righ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Point time: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Esports club operation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Player transfer fee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178,937</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807,586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jc w:val="right"/>
              <w:ind w:righ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Sales of merchandise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102,376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29,502</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jc w:val="right"/>
              <w:ind w:right="26"/>
              <w:spacing w:after="0" w:line="68"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shd w:val="clear" w:color="auto" w:fill="CCEEFF"/>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9,398,340</w:t>
            </w: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7,372,837</w:t>
            </w:r>
          </w:p>
        </w:tc>
        <w:tc>
          <w:tcPr>
            <w:tcW w:w="2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20" w:type="dxa"/>
            <w:vAlign w:val="bottom"/>
          </w:tcPr>
          <w:p>
            <w:pPr>
              <w:spacing w:after="0"/>
              <w:rPr>
                <w:sz w:val="4"/>
                <w:szCs w:val="4"/>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3"/>
                <w:szCs w:val="3"/>
                <w:b w:val="1"/>
                <w:bCs w:val="1"/>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 ​</w:t>
            </w: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20" w:type="dxa"/>
            <w:vAlign w:val="bottom"/>
          </w:tcPr>
          <w:p>
            <w:pPr>
              <w:spacing w:after="0"/>
              <w:rPr>
                <w:sz w:val="4"/>
                <w:szCs w:val="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Esports club operation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Tournament participation of esports</w:t>
      </w:r>
    </w:p>
    <w:p>
      <w:pPr>
        <w:spacing w:after="0" w:line="14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NIP enters into participation agreement with esports event organizer, to become a member team for the league and participate in esports tournaments such as Counter-Strike: Global Offensive (“CS:GO”), Rainbow Six: Siege, and FIFA.</w:t>
      </w:r>
    </w:p>
    <w:p>
      <w:pPr>
        <w:spacing w:after="0" w:line="102" w:lineRule="exact"/>
        <w:rPr>
          <w:sz w:val="20"/>
          <w:szCs w:val="20"/>
          <w:color w:val="auto"/>
        </w:rPr>
      </w:pPr>
    </w:p>
    <w:p>
      <w:pPr>
        <w:ind w:left="1260" w:right="919" w:firstLine="360"/>
        <w:spacing w:after="0" w:line="253" w:lineRule="auto"/>
        <w:rPr>
          <w:sz w:val="20"/>
          <w:szCs w:val="20"/>
          <w:color w:val="auto"/>
        </w:rPr>
      </w:pPr>
      <w:r>
        <w:rPr>
          <w:rFonts w:ascii="Times New Roman" w:cs="Times New Roman" w:eastAsia="Times New Roman" w:hAnsi="Times New Roman"/>
          <w:sz w:val="18"/>
          <w:szCs w:val="18"/>
          <w:color w:val="auto"/>
        </w:rPr>
        <w:t>NIP’s promises to esports event organizers consist of: 1) participating in esports tournaments in accordance with rules; 2) managing and operating the team and esports club in a professional manner;</w:t>
      </w:r>
    </w:p>
    <w:p>
      <w:pPr>
        <w:ind w:left="1260" w:right="519"/>
        <w:spacing w:after="0"/>
        <w:tabs>
          <w:tab w:leader="none" w:pos="146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all the applicable team personnel comply with the competition policies; 4) undertaking and performing the team promotion obligation as required in the agreement. All the promises are not separately identifiable within the context of the contract, and are served for the commitment to give esports event organizers the best opportunity to promote the league or tournament, and generate the highest level of revenue for the league or the tournament. Therefore, NIP identifies one performance obligation in the contract with esports event organizers.</w:t>
      </w:r>
    </w:p>
    <w:p>
      <w:pPr>
        <w:spacing w:after="0" w:line="117"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The transaction price consists of two parts: 1) League revenue share earned through esports event is periodically allocated to member teams, which includes fixed consideration promised with minimum guarantee and variable consideration based on the team’s performance matrix. 2) Prize money is distributed to eligible teams in accordance with the tournament won, which will be received at the end of each tournament season.</w:t>
      </w:r>
    </w:p>
    <w:p>
      <w:pPr>
        <w:spacing w:after="0" w:line="322" w:lineRule="exact"/>
        <w:rPr>
          <w:sz w:val="20"/>
          <w:szCs w:val="20"/>
          <w:color w:val="auto"/>
        </w:rPr>
      </w:pPr>
    </w:p>
    <w:p>
      <w:pPr>
        <w:jc w:val="both"/>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Variable consideration is mainly determined by two factors: 1) the amount of prize pool collected by esports event organizer during each tournament season and the proportion allocated to the team as agreed;</w:t>
      </w:r>
    </w:p>
    <w:p>
      <w:pPr>
        <w:spacing w:after="0" w:line="1" w:lineRule="exact"/>
        <w:rPr>
          <w:sz w:val="20"/>
          <w:szCs w:val="20"/>
          <w:color w:val="auto"/>
        </w:rPr>
      </w:pPr>
    </w:p>
    <w:p>
      <w:pPr>
        <w:ind w:left="1260" w:right="559"/>
        <w:spacing w:after="0" w:line="245" w:lineRule="auto"/>
        <w:tabs>
          <w:tab w:leader="none" w:pos="146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ranking and of NIP’s team in each tournament season. No amount of variable consideration in the transaction price should be recognized until the uncertainty is resolved, because it is not probable that a significant reversal of cumulative revenue recognized will not occur resulting from a change in estimate of the consideration received upon finalized prize pool, the team’s allocated proportion of revenue share and ranking.</w:t>
      </w:r>
    </w:p>
    <w:p>
      <w:pPr>
        <w:spacing w:after="0" w:line="323"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Esports event organizer simultaneously receives and consumes the benefits provided by NIP’s performance over the contract period, hence, NIP satisfies the performance obligation to esports event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1" w:name="page272"/>
    <w:bookmarkEnd w:id="2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jc w:val="both"/>
        <w:ind w:left="1260" w:right="659"/>
        <w:spacing w:after="0" w:line="266" w:lineRule="auto"/>
        <w:rPr>
          <w:sz w:val="20"/>
          <w:szCs w:val="20"/>
          <w:color w:val="auto"/>
        </w:rPr>
      </w:pPr>
      <w:r>
        <w:rPr>
          <w:rFonts w:ascii="Times New Roman" w:cs="Times New Roman" w:eastAsia="Times New Roman" w:hAnsi="Times New Roman"/>
          <w:sz w:val="18"/>
          <w:szCs w:val="18"/>
          <w:color w:val="auto"/>
        </w:rPr>
        <w:t>organizer over the contract period. Furthermore, the main cost to operate an esports club is the salaries or contract consideration paid to players. Thus, NIP uses input method to measure progress, and recognizes revenues overtime on a straight-line basis during the tournament season.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Sponsorships and advertising</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NIP enters into sponsorship contract with customer, to promote and publicize the customer’s products, services or brands through a full range of promotional channels, including but not limited to livestream announcements, content generation, social media posts, and esports players to participate in the recording of advertising videos as customer spokesmen. In most sponsorship contracts, NIP identifies one performance obligation as the intended benefit is an association with NIP’s brand and the services are not distinct within the context of the contracts. Certain contracts with customers may include multiple performance obligations when the promises are separately identifiable with one another and are indicated with standalone selling price. For such arrangements, NIP allocates transaction price to each performance obligation based on its relative standalone selling price. NIP generally determines the standalone selling prices based on the prices charged to customers.</w:t>
      </w:r>
    </w:p>
    <w:p>
      <w:pPr>
        <w:spacing w:after="0" w:line="337"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For general promotion activities, because customer simultaneously receives and consumes the benefits from exposure of the brand as NIP diligently performs various promotion activities, revenues from sponsorship agreements are recognized ratably over the entire contract term. For extra promotion activities distinctly identified as a separate PO, revenues are recognized upon completion of such activities or service deliverables.</w:t>
      </w:r>
    </w:p>
    <w:p>
      <w:pPr>
        <w:spacing w:after="0" w:line="32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service consideration is the contract amount as agreed in the contact. The contract payment is not subject to any variable consideration or subsequent adjustment. In instances where the timing of revenue recognition differs from the timing of billing, NIP has determined the brand sponsorship agreements generally do not include a significant financing component.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IP licensing</w:t>
      </w:r>
    </w:p>
    <w:p>
      <w:pPr>
        <w:spacing w:after="0" w:line="16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NIP enters into contract with customer, and grants the customer a right-to-access license of NIP’s intellectual property (“IP”) in selling digital goods such as game props, skins or stickers. The form of IP does not have stand-alone functionality associated with NIP’s brand, and the utility of IP is significantly derived from the NIP’s past or ongoing activities undertaken to maintain or support the IP. NIP identifies one performance obligation in each sales order of digital goods, that is, the right-to-access license of symbolic IP. The customer has the right-to-access license of NIP’s symbolic IP throughout license period and benefits from it as NIP’s ongoing activities will continue to support and maintain the IP’s utility. Thus, revenues from IP licensing are recognized ratably over the contract term.</w:t>
      </w:r>
    </w:p>
    <w:p>
      <w:pPr>
        <w:spacing w:after="0" w:line="12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service consideration is reconciled and settled on a monthly basis. The contract payment is not subject to any variable consideration or subsequent adjustment.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Player transfer fees</w:t>
      </w:r>
    </w:p>
    <w:p>
      <w:pPr>
        <w:spacing w:after="0" w:line="14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NIP enters into contracts with customer, mainly other esports clubs, to transfer NIP’s esports players. Player transfer fee is fixed consideration as agreed in the contract. NIP recognizes revenues from player transfer fees at a point of time upon satisfaction of the performance obligation, when the e-player is released from any and all contractual rights and obligations with NIP and any such contractual rights is transferred to the customer.</w:t>
      </w: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2" w:name="page273"/>
    <w:bookmarkEnd w:id="2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of branded merchandise</w:t>
      </w:r>
    </w:p>
    <w:p>
      <w:pPr>
        <w:spacing w:after="0" w:line="14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NIP also sells brand-related merchandise such as mouse, keyboard, hoodie and etc. at official online store. The transaction price is fixed. NIP recognizes revenues from sales of branded merchandise at a point of time when the merchandise is delivered to the customer in sound condition.</w:t>
      </w:r>
    </w:p>
    <w:p>
      <w:pPr>
        <w:spacing w:after="0" w:line="11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all the products and services provided, NIP considers itself the principal and recognizes revenue on a gross basis as it controls the transfer of the products and services.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Principal versus Agent considerations</w:t>
      </w:r>
    </w:p>
    <w:p>
      <w:pPr>
        <w:spacing w:after="0" w:line="14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NIP signs contracts with esports players, in which they are obliged to conduct a series of promotion activities as required for the revenue generated from sponsorships and advertising. NIP has evaluated the terms with esports players and considers itself a principal and recognizes revenue on a gross basis in sponsorships and advertising as it controls the services through the following key considerations:</w:t>
      </w:r>
    </w:p>
    <w:p>
      <w:pPr>
        <w:spacing w:after="0" w:line="63" w:lineRule="exact"/>
        <w:rPr>
          <w:sz w:val="20"/>
          <w:szCs w:val="20"/>
          <w:color w:val="auto"/>
        </w:rPr>
      </w:pPr>
    </w:p>
    <w:p>
      <w:pPr>
        <w:ind w:left="1800" w:right="579" w:hanging="180"/>
        <w:spacing w:after="0" w:line="266"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NIP owns its brand and intellectual property, directs the esports players to conduct a series of promotion activities on NIP’s behalf, and assumes primary responsibility for controlling the quality of promotion deliverables.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NIP’s contracts with its esports players, NIP agrees to serve as the E-player’s exclusive management company as it relates to any of the work esports players may perform, including content creation and sponsorships and advertising revenue generated from the content. While the E-player owns the content they create under the contract with NIP, the E-player grants NIP an exclusive perpetual license to the content, and NIP grants limited usage rights of that content back to the talent, conditional upon their compliance with the contract.</w:t>
      </w:r>
    </w:p>
    <w:p>
      <w:pPr>
        <w:spacing w:after="0" w:line="65"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NIP has discretion in setting up the price. esports players are only entitled to the monthly salary for their promotion obligation and do not participate in profit share for the revenue from sponsorships and advertising.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Payment terms are established on NIP’s pre-established credit requirements based upon an evaluation of customers’ credit. Contract assets are recognized for in related accounts receivable.</w:t>
      </w:r>
    </w:p>
    <w:p>
      <w:pPr>
        <w:spacing w:after="0" w:line="95"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Deferred revenue, which representing a contract liability, represents mostly unrecognized revenue amount received from customers. The balance of deferred revenue is recognized as revenue upon the completion of performance obligations. NIP’s deferred revenue from sponsorships and advertising amounted to $586,374 and $605,497 as of December 31, 2021 and 2022. Revenue recognized in the period that was included in the beginning of the period contracts liability balance were nil and $586,374, respectively.</w:t>
      </w:r>
    </w:p>
    <w:p>
      <w:pPr>
        <w:spacing w:after="0" w:line="325"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Other than accounts receivable and deferred revenue, NIP had no other material contract assets, contract liabilities or deferred contract costs recorded on its balance sheet as of December 31, 2021 and 2022.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 price allocated to remaining performance obligation</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has not yet been recognized, which includes deferred revenue and amounts that will be invoiced and recognized as revenue in future periods.</w:t>
      </w:r>
    </w:p>
    <w:p>
      <w:pPr>
        <w:spacing w:after="0" w:line="102"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2021 and 2022, the aggregate amount of the transaction price allocated to the remaining performance obligation is $7,060,635 and $7,766,805, and NIP will recognize this revenue related to sponsorships and advertising over the remaining contract periods over 1 to 5 years.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3" w:name="page274"/>
    <w:bookmarkEnd w:id="2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NIP has elected, as a practical expedient, not to disclose the transaction price allocated to unsatisfied or partially unsatisfied performance obligations that are part of a contract that has an original expected duration of one year or less. These performance obligations are related to the revenue of tournament participation of esports, and sponsorships and advertising.</w:t>
      </w:r>
    </w:p>
    <w:p>
      <w:pPr>
        <w:spacing w:after="0" w:line="108" w:lineRule="exact"/>
        <w:rPr>
          <w:sz w:val="20"/>
          <w:szCs w:val="20"/>
          <w:color w:val="auto"/>
        </w:rPr>
      </w:pPr>
    </w:p>
    <w:p>
      <w:pPr>
        <w:ind w:left="1620" w:hanging="360"/>
        <w:spacing w:after="0"/>
        <w:tabs>
          <w:tab w:leader="none" w:pos="1620" w:val="left"/>
        </w:tabs>
        <w:numPr>
          <w:ilvl w:val="0"/>
          <w:numId w:val="2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salaries of esports players, prize winnings to esports players, expenditures for sponsorships and marketing deliverables, acquisition cost of E-players, cost of merchandise sold, as well as related costs that are directly attributable to NIP’s principal operations.</w:t>
      </w:r>
    </w:p>
    <w:p>
      <w:pPr>
        <w:spacing w:after="0" w:line="104" w:lineRule="exact"/>
        <w:rPr>
          <w:sz w:val="20"/>
          <w:szCs w:val="20"/>
          <w:color w:val="auto"/>
        </w:rPr>
      </w:pPr>
    </w:p>
    <w:p>
      <w:pPr>
        <w:ind w:left="1620" w:hanging="360"/>
        <w:spacing w:after="0"/>
        <w:tabs>
          <w:tab w:leader="none" w:pos="1620" w:val="left"/>
        </w:tabs>
        <w:numPr>
          <w:ilvl w:val="0"/>
          <w:numId w:val="2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 added tax (“VAT”)</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NIP is subject to VAT on revenue generated from providing goods and services. NIP records revenue net of VAT. This VAT may be offset by qualified input VAT paid by NIP to suppliers. Net VAT balance between input VAT and output VAT is recorded in the line item of other current assets on the balance sheets.</w:t>
      </w:r>
    </w:p>
    <w:p>
      <w:pPr>
        <w:spacing w:after="0" w:line="108"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standard VAT rate is 25% in Sweden, applicable to all the goods and services NIP provides for the years ended December 31, 2021 and 2022. Entities with a Swedish VAT number are allowed to offset qualified input VAT, paid to suppliers against their output VAT liabilities.</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Selling and marketing expenses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Selling and marketing expenses mainly consist of (i) advertising and promotion expenses; (ii) staff cost, rental, depreciation and amortization expenses related to selling and marketing functions; and (iii) professional service fees.</w:t>
      </w:r>
    </w:p>
    <w:p>
      <w:pPr>
        <w:spacing w:after="0" w:line="91" w:lineRule="exact"/>
        <w:rPr>
          <w:sz w:val="20"/>
          <w:szCs w:val="20"/>
          <w:color w:val="auto"/>
        </w:rPr>
      </w:pPr>
    </w:p>
    <w:p>
      <w:pPr>
        <w:ind w:left="1620" w:hanging="360"/>
        <w:spacing w:after="0"/>
        <w:tabs>
          <w:tab w:leader="none" w:pos="1620" w:val="left"/>
        </w:tabs>
        <w:numPr>
          <w:ilvl w:val="0"/>
          <w:numId w:val="2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mainly consist of (i) staff cost, rental, depreciation and amortization expenses related to general and administrative functions; (ii) professional service fees; and (iii) other corporate expenses.</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 Income taxes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NIP accounts for income taxes under ASC 740. Deferred tax assets and liabilities are recognized for the future tax consequences attributable to differences between the financial statements carrying amounts of existing assets and liabilities and their respective tax bases.</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financial statements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 NIP as a private company in Sweden are subject to examination by the relevant tax authorities.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4" w:name="page275"/>
    <w:bookmarkEnd w:id="2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Penalties and interest incurred related to underpayment of income tax are classified as income tax expense in the period incurred. NIP did not accrue any liability, interest or penalties related to uncertain tax positions in its provision for income taxes line of its statements of income for the years ended December 31, 2021 and 2022.</w:t>
      </w:r>
    </w:p>
    <w:p>
      <w:pPr>
        <w:spacing w:after="0" w:line="323"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NIP does not expect that its assessment regarding unrecognized tax positions will materially change over the next 12 months.</w:t>
      </w:r>
    </w:p>
    <w:p>
      <w:pPr>
        <w:spacing w:after="0" w:line="6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Operating lease</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On January 1, 2022, NIP adopted Accounting Standards Update (“ASU”) 2016-02, Lease (FASB ASC Topic 842), using the non-comparative transition option pursuant to ASU 2018-11. Therefore, NIP has not restated comparative period financial information for the effects of ASC 842, and will not make the new required lease disclosures for comparative periods beginning before January 1, 2022. The adoption of Topic 842 resulted in the presentation of operating lease right-of-use (“ROU”) assets and operating lease liabilities on the consolidated balance sheet. NIP has elected the package of practical expedients, which allows NIP not to reassess (1) whether any expired or existing contracts as of the adoption date are or contain a lease; (2) lease classification for any expired or existing leases as of the adoption date; and</w:t>
      </w:r>
    </w:p>
    <w:p>
      <w:pPr>
        <w:spacing w:after="0" w:line="2" w:lineRule="exact"/>
        <w:rPr>
          <w:sz w:val="20"/>
          <w:szCs w:val="20"/>
          <w:color w:val="auto"/>
        </w:rPr>
      </w:pPr>
    </w:p>
    <w:p>
      <w:pPr>
        <w:ind w:left="1260" w:right="799"/>
        <w:spacing w:after="0"/>
        <w:tabs>
          <w:tab w:leader="none" w:pos="152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direct costs for any expired or existing leases as of the adoption date. Lastly, NIP elected the short-term lease exemption for all contracts with lease terms of 12 months or less. NIP recognizes lease expense for short-term leases on a straight-line basis over the lease term.</w:t>
      </w:r>
    </w:p>
    <w:p>
      <w:pPr>
        <w:spacing w:after="0" w:line="11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Right-of-use assets represent NIP’s right to use an underlying asset for the lease term and lease liabilities represent NIP’s obligation to make lease payments arising from the lease. Right-of-use assets and lease liabilities are recognized at the commencement date based on the present value of the remaining future minimum lease payments. As the interest rate implicit in NIP’s leases is not readily determinable, NIP utilizes its incremental borrowing rate, determined by class of underlying asset, to discount the lease payments. The operating lease right -of-use assets also include lease payments made before commencement and exclude lease incentives. Some of NIP’s lease agreements contained renewal options; however, NIP did not recognize right-of-use assets or lease liabilities for renewal periods unless it was determined that NIP was reasonably certain of renewing the lease at inception or when a triggering event occurred. Lease expense for lease payments is recognized on a straight-line basis over the lease term. NIP’s lease agreements did not contain any material residual value guarantees or material restrictive covenants.</w:t>
      </w:r>
    </w:p>
    <w:p>
      <w:pPr>
        <w:spacing w:after="0" w:line="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NIP’s principal country of operations is Sweden. The financial position and results of its operations are determined using SEK, the local currency, as the functional currency. NIP’s financial statements are reported using U.S. Dollars (“$”). The results of operations and the statements of cash flows denominated in functional currency is translated at the average rate of exchange during the reporting period. Assets and liabilities denominated in functional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statement of cash flows will not necessarily agree with changes in the corresponding balances on the balance sheet. Translation adjustments arising from the use of different exchange rates from period to period are included as a separate component of accumulated other comprehensive income (loss) included in statement of changes in equity. Gains and losses from foreign currency transactions are included in the results of operations.</w:t>
      </w:r>
    </w:p>
    <w:p>
      <w:pPr>
        <w:spacing w:after="0" w:line="118"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value of SEK against $ and other currencies may fluctuate and is affected by, among other things, changes in the Swedish political and economic conditions. Any significant revaluation of SEK may materially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5" w:name="page276"/>
    <w:bookmarkEnd w:id="2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affect NIP’s financial condition in terms of $ reporting. The following table outlines the currency exchange rates that were used in creating the financial statements:</w:t>
      </w: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70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6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780" w:type="dxa"/>
            <w:vAlign w:val="bottom"/>
            <w:gridSpan w:val="5"/>
            <w:shd w:val="clear" w:color="auto" w:fill="CCEEFF"/>
          </w:tcPr>
          <w:p>
            <w:pPr>
              <w:ind w:left="28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​9.0498</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​10.4167</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40" w:type="dxa"/>
            <w:vAlign w:val="bottom"/>
          </w:tcPr>
          <w:p>
            <w:pPr>
              <w:spacing w:after="0"/>
              <w:rPr>
                <w:sz w:val="24"/>
                <w:szCs w:val="24"/>
                <w:color w:val="auto"/>
              </w:rPr>
            </w:pP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income and comprehensive income (loss), and</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75"/>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780" w:type="dxa"/>
            <w:vAlign w:val="bottom"/>
            <w:gridSpan w:val="5"/>
            <w:shd w:val="clear" w:color="auto" w:fill="CCEEFF"/>
          </w:tcPr>
          <w:p>
            <w:pPr>
              <w:ind w:left="300"/>
              <w:spacing w:after="0" w:line="275"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​8.5812</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​10.1118</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36308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-325120</wp:posOffset>
            </wp:positionV>
            <wp:extent cx="437197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representation is made that the SEK amounts could have been, or could be, converted into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dollars at the rates used in translation.</w:t>
      </w:r>
    </w:p>
    <w:p>
      <w:pPr>
        <w:spacing w:after="0" w:line="12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Foreign currency exchange rate risk</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SEK against U.S. dollar, there was depreciation of approximately 10.2% and 15.1% during</w:t>
      </w:r>
    </w:p>
    <w:p>
      <w:pPr>
        <w:spacing w:after="0" w:line="16" w:lineRule="exact"/>
        <w:rPr>
          <w:sz w:val="20"/>
          <w:szCs w:val="20"/>
          <w:color w:val="auto"/>
        </w:rPr>
      </w:pPr>
    </w:p>
    <w:p>
      <w:pPr>
        <w:jc w:val="both"/>
        <w:ind w:left="1260" w:right="439"/>
        <w:spacing w:after="0" w:line="243" w:lineRule="auto"/>
        <w:rPr>
          <w:sz w:val="20"/>
          <w:szCs w:val="20"/>
          <w:color w:val="auto"/>
        </w:rPr>
      </w:pPr>
      <w:r>
        <w:rPr>
          <w:rFonts w:ascii="Times New Roman" w:cs="Times New Roman" w:eastAsia="Times New Roman" w:hAnsi="Times New Roman"/>
          <w:sz w:val="18"/>
          <w:szCs w:val="18"/>
          <w:color w:val="auto"/>
        </w:rPr>
        <w:t>the years ended December 31, 2021 and 2022. It is difficult to predict how market forces or European Union or U.S. government policy may impact the exchange rate between the SEK and the U.S. dollar in the future.</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To the extent that NIP needs to convert U.S. dollar into SEK for capital expenditures and working capital and other business purposes, appreciation of SEK against the U.S. dollar would have an adverse effect on the SEK amount NIP would receive from the conversion. Conversely, if NIP decides to convert SEK into U.S. dollar for the purpose of making payments for working capital, dividends on ordinary shares, strategic acquisitions or investments or other business purposes, appreciation of U.S. dollar against SEK would have a negative effect on the U.S. dollar amount available to NIP. In addition, a significant depreciation of the SEK against the U.S. dollar may significantly reduce the U.S. dollar equivalent of NIP’s earnings or losses.</w:t>
      </w:r>
    </w:p>
    <w:p>
      <w:pPr>
        <w:spacing w:after="0" w:line="32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NIP uses the management approach in determining its operating segments. NIP’s chief operating decision maker (“CODM”) identified as NIP’s Chief Executive Officer, relies upon the results of operations as a whole when making decisions about allocating resources and assessing the performance of NIP. As a result of the assessment made by CODM, NIP has only one reportable segment. NIP does not distinguish between markets or segments for the purpose of internal reporting. As NIP’s long-lived assets are substantially located in Sweden, no geographical segments are presented.</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i w:val="1"/>
          <w:iCs w:val="1"/>
          <w:color w:val="auto"/>
        </w:rPr>
        <w:t>(r)</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which will require the measurement of all expected credit losses for financial assets held at the reporting date based on historical experience, current conditions, and reasonable and supportable forecasts. Subsequently, the FASB issued ASU No. 2018-19, Codification Improvements to Topic 326, to clarify that receivables arising from operating leases are within the scope of lease accounting standards. Further, the FASB issued ASU No.</w:t>
      </w:r>
    </w:p>
    <w:p>
      <w:pPr>
        <w:spacing w:after="0" w:line="3"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2019-04, ASU 2019-05, ASU 2019-10, ASU 2019- 11 and ASU 2020-02 to provide additional guidance on the credit losses standard. For all other entities, the amendments for ASU 2016-13 are effective for fiscal years beginning after December 15, 2022, including interim periods within those fiscal years, with</w:t>
      </w: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6" w:name="page277"/>
    <w:bookmarkEnd w:id="2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early adoption permitted. Adoption of the ASUs is on a modified retrospective basis. NIP will adopt</w:t>
      </w:r>
    </w:p>
    <w:p>
      <w:pPr>
        <w:spacing w:after="0" w:line="27" w:lineRule="exact"/>
        <w:rPr>
          <w:sz w:val="20"/>
          <w:szCs w:val="20"/>
          <w:color w:val="auto"/>
        </w:rPr>
      </w:pPr>
    </w:p>
    <w:p>
      <w:pPr>
        <w:ind w:left="1260" w:right="579"/>
        <w:spacing w:after="0" w:line="292" w:lineRule="auto"/>
        <w:rPr>
          <w:sz w:val="20"/>
          <w:szCs w:val="20"/>
          <w:color w:val="auto"/>
        </w:rPr>
      </w:pPr>
      <w:r>
        <w:rPr>
          <w:rFonts w:ascii="Times New Roman" w:cs="Times New Roman" w:eastAsia="Times New Roman" w:hAnsi="Times New Roman"/>
          <w:sz w:val="18"/>
          <w:szCs w:val="18"/>
          <w:color w:val="auto"/>
        </w:rPr>
        <w:t>ASU 2016-13 from January 1, 2023. NIP concluded that the adoption did not have a material impact on its consolidated financial statements.</w:t>
      </w:r>
    </w:p>
    <w:p>
      <w:pPr>
        <w:spacing w:after="0" w:line="8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November 2021, the FASB issued ASU 2021-10, Disclosures by Business Entities about Government Assistance (Topic 832). The amendment requires a business entity to provide certain disclosures when it has entered into a legally enforceable agreement with a government to receive value, and accounts for the transaction using a grant or contribution accounting model by analogy. ASU 2021-10 is effective for fiscal years beginning after December 15, 2021 for all business entities. NIP concluded that the adoption did not have a material impact on its consolidated financial statements.</w:t>
      </w:r>
    </w:p>
    <w:p>
      <w:pPr>
        <w:spacing w:after="0" w:line="136"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financial statements upon adoption. NIP does not discuss recent standards that are not anticipated to have an impact on or are unrelated to its financial condition, results of operations, cash flows or disclosures.</w:t>
      </w:r>
    </w:p>
    <w:p>
      <w:pPr>
        <w:sectPr>
          <w:pgSz w:w="11900" w:h="16838" w:orient="portrait"/>
          <w:cols w:equalWidth="0" w:num="1">
            <w:col w:w="9879"/>
          </w:cols>
          <w:pgMar w:left="580" w:top="97" w:right="1440" w:bottom="1440" w:gutter="0" w:footer="0" w:header="0"/>
        </w:sectPr>
      </w:pPr>
    </w:p>
    <w:p>
      <w:pPr>
        <w:spacing w:after="0" w:line="174" w:lineRule="exact"/>
        <w:rPr>
          <w:sz w:val="20"/>
          <w:szCs w:val="20"/>
          <w:color w:val="auto"/>
        </w:rPr>
      </w:pPr>
    </w:p>
    <w:p>
      <w:pPr>
        <w:ind w:left="1620" w:hanging="360"/>
        <w:spacing w:after="0"/>
        <w:tabs>
          <w:tab w:leader="none" w:pos="162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consisted of the following:</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7"/>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gridSpan w:val="2"/>
          </w:tcPr>
          <w:p>
            <w:pPr>
              <w:spacing w:after="0"/>
              <w:rPr>
                <w:sz w:val="20"/>
                <w:szCs w:val="2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2"/>
        </w:trPr>
        <w:tc>
          <w:tcPr>
            <w:tcW w:w="1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​​$2,956,256​​</w:t>
            </w:r>
          </w:p>
        </w:tc>
        <w:tc>
          <w:tcPr>
            <w:tcW w:w="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​​$2,090,269​</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 (239,680)</w:t>
            </w:r>
          </w:p>
        </w:tc>
        <w:tc>
          <w:tcPr>
            <w:tcW w:w="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(211,453)</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2,716,576</w:t>
            </w:r>
            <w:r>
              <w:rPr>
                <w:rFonts w:ascii="Times New Roman" w:cs="Times New Roman" w:eastAsia="Times New Roman" w:hAnsi="Times New Roman"/>
                <w:sz w:val="28"/>
                <w:szCs w:val="28"/>
                <w:color w:val="auto"/>
                <w:vertAlign w:val="subscript"/>
              </w:rPr>
              <w:t>​​</w:t>
            </w:r>
          </w:p>
        </w:tc>
        <w:tc>
          <w:tcPr>
            <w:tcW w:w="98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1,878,816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80" w:space="720"/>
            <w:col w:w="2879"/>
          </w:cols>
          <w:pgMar w:left="580" w:top="97" w:right="1440" w:bottom="1440" w:gutter="0" w:footer="0" w:header="0"/>
          <w:type w:val="continuous"/>
        </w:sectPr>
      </w:pPr>
    </w:p>
    <w:p>
      <w:pPr>
        <w:spacing w:after="0" w:line="52" w:lineRule="exact"/>
        <w:rPr>
          <w:sz w:val="20"/>
          <w:szCs w:val="20"/>
          <w:color w:val="auto"/>
        </w:rPr>
      </w:pPr>
    </w:p>
    <w:p>
      <w:pPr>
        <w:ind w:left="1260" w:right="419" w:firstLine="360"/>
        <w:spacing w:after="0" w:line="313" w:lineRule="auto"/>
        <w:rPr>
          <w:sz w:val="20"/>
          <w:szCs w:val="20"/>
          <w:color w:val="auto"/>
        </w:rPr>
      </w:pPr>
      <w:r>
        <w:rPr>
          <w:rFonts w:ascii="Times New Roman" w:cs="Times New Roman" w:eastAsia="Times New Roman" w:hAnsi="Times New Roman"/>
          <w:sz w:val="18"/>
          <w:szCs w:val="18"/>
          <w:color w:val="auto"/>
        </w:rPr>
        <w:t>Bad debt expense recorded in allowance for doubtful accounts for was $10,466 and $3,321 for the years ended December 31, 2021 and 2022.</w:t>
      </w:r>
    </w:p>
    <w:p>
      <w:pPr>
        <w:sectPr>
          <w:pgSz w:w="11900" w:h="16838" w:orient="portrait"/>
          <w:cols w:equalWidth="0" w:num="1">
            <w:col w:w="9879"/>
          </w:cols>
          <w:pgMar w:left="580" w:top="97" w:right="1440" w:bottom="1440" w:gutter="0" w:footer="0" w:header="0"/>
          <w:type w:val="continuous"/>
        </w:sectPr>
      </w:pPr>
    </w:p>
    <w:p>
      <w:pPr>
        <w:spacing w:after="0" w:line="158" w:lineRule="exact"/>
        <w:rPr>
          <w:sz w:val="20"/>
          <w:szCs w:val="20"/>
          <w:color w:val="auto"/>
        </w:rPr>
      </w:pPr>
    </w:p>
    <w:p>
      <w:pPr>
        <w:ind w:left="1620" w:hanging="360"/>
        <w:spacing w:after="0" w:line="443" w:lineRule="auto"/>
        <w:tabs>
          <w:tab w:leader="none" w:pos="162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Prepaid expenses and other current assets consist of the following:</w:t>
      </w:r>
    </w:p>
    <w:p>
      <w:pPr>
        <w:spacing w:after="0" w:line="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VAT prepayment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Prepaid rental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​​$249,510​​ ​​$186,996​</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86,654​​ ​​ ​ 53,663​</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84,912​​ ​​ ​ 51,291​</w:t>
      </w:r>
    </w:p>
    <w:p>
      <w:pPr>
        <w:spacing w:after="0" w:line="50"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8"/>
          <w:szCs w:val="18"/>
          <w:color w:val="auto"/>
        </w:rPr>
        <w:t>​ ​​ ​</w:t>
        <w:tab/>
        <w:t>8,937​​ ​​ ​ 13,054​</w:t>
      </w:r>
    </w:p>
    <w:p>
      <w:pPr>
        <w:ind w:left="60"/>
        <w:spacing w:after="0" w:line="190" w:lineRule="auto"/>
        <w:tabs>
          <w:tab w:leader="none" w:pos="50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4,856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xml:space="preserve"> ​ 19,737</w:t>
      </w:r>
      <w:r>
        <w:rPr>
          <w:rFonts w:ascii="Times New Roman" w:cs="Times New Roman" w:eastAsia="Times New Roman" w:hAnsi="Times New Roman"/>
          <w:sz w:val="35"/>
          <w:szCs w:val="35"/>
          <w:color w:val="auto"/>
          <w:vertAlign w:val="subscript"/>
        </w:rPr>
        <w:t>​</w:t>
      </w:r>
    </w:p>
    <w:p>
      <w:pPr>
        <w:jc w:val="center"/>
        <w:ind w:right="679"/>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434,869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324,741</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6640" w:space="620"/>
            <w:col w:w="2619"/>
          </w:cols>
          <w:pgMar w:left="580" w:top="97" w:right="1440" w:bottom="1440" w:gutter="0" w:footer="0" w:header="0"/>
          <w:type w:val="continuous"/>
        </w:sectPr>
      </w:pPr>
    </w:p>
    <w:p>
      <w:pPr>
        <w:spacing w:after="0" w:line="39" w:lineRule="exact"/>
        <w:rPr>
          <w:sz w:val="20"/>
          <w:szCs w:val="20"/>
          <w:color w:val="auto"/>
        </w:rPr>
      </w:pPr>
    </w:p>
    <w:p>
      <w:pPr>
        <w:ind w:left="1260" w:right="719" w:firstLine="360"/>
        <w:spacing w:after="0" w:line="313" w:lineRule="auto"/>
        <w:rPr>
          <w:sz w:val="20"/>
          <w:szCs w:val="20"/>
          <w:color w:val="auto"/>
        </w:rPr>
      </w:pPr>
      <w:r>
        <w:rPr>
          <w:rFonts w:ascii="Times New Roman" w:cs="Times New Roman" w:eastAsia="Times New Roman" w:hAnsi="Times New Roman"/>
          <w:sz w:val="18"/>
          <w:szCs w:val="18"/>
          <w:color w:val="auto"/>
        </w:rPr>
        <w:t>Bad debt expense recorded in write-off of the uncollectible balance was nil and $5,671 for the years ended December 31, 2021 and 2022.</w:t>
      </w:r>
    </w:p>
    <w:p>
      <w:pPr>
        <w:spacing w:after="0" w:line="3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7" w:name="page278"/>
    <w:bookmarkEnd w:id="2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8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​​$134,866​​ ​​$117,168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8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6,542​​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8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CEEFF"/>
          </w:tcPr>
          <w:p>
            <w:pPr>
              <w:spacing w:after="0"/>
              <w:rPr>
                <w:sz w:val="19"/>
                <w:szCs w:val="19"/>
                <w:color w:val="auto"/>
              </w:rPr>
            </w:pPr>
          </w:p>
        </w:tc>
        <w:tc>
          <w:tcPr>
            <w:tcW w:w="18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​141,408​​ ​​ ​122,851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42,241​​ ​​ ​ 61,268​</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92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4"/>
                <w:szCs w:val="14"/>
                <w:b w:val="1"/>
                <w:bCs w:val="1"/>
                <w:color w:val="auto"/>
              </w:rPr>
              <w:t>99,167</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61,583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-196850</wp:posOffset>
            </wp:positionV>
            <wp:extent cx="431165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-513715</wp:posOffset>
            </wp:positionV>
            <wp:extent cx="431165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-831215</wp:posOffset>
            </wp:positionV>
            <wp:extent cx="430339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expense was $29,826 and $25,311 for the years ended December 31, 2021 and 2022.</w:t>
      </w:r>
    </w:p>
    <w:p>
      <w:pPr>
        <w:spacing w:after="0" w:line="221" w:lineRule="exact"/>
        <w:rPr>
          <w:sz w:val="20"/>
          <w:szCs w:val="20"/>
          <w:color w:val="auto"/>
        </w:rPr>
      </w:pPr>
    </w:p>
    <w:p>
      <w:pPr>
        <w:ind w:left="1620" w:hanging="360"/>
        <w:spacing w:after="0"/>
        <w:tabs>
          <w:tab w:leader="none" w:pos="162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consists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000" w:type="dxa"/>
            <w:vAlign w:val="bottom"/>
            <w:shd w:val="clear" w:color="auto" w:fill="CCEEFF"/>
          </w:tcPr>
          <w:p>
            <w:pPr>
              <w:spacing w:after="0" w:line="20" w:lineRule="exact"/>
              <w:rPr>
                <w:sz w:val="1"/>
                <w:szCs w:val="1"/>
                <w:color w:val="auto"/>
              </w:rPr>
            </w:pPr>
          </w:p>
        </w:tc>
        <w:tc>
          <w:tcPr>
            <w:tcW w:w="18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acquisition costs</w:t>
            </w:r>
          </w:p>
        </w:tc>
        <w:tc>
          <w:tcPr>
            <w:tcW w:w="1840" w:type="dxa"/>
            <w:vAlign w:val="bottom"/>
            <w:tcBorders>
              <w:right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​​$730,251​​</w:t>
            </w:r>
          </w:p>
        </w:tc>
        <w:tc>
          <w:tcPr>
            <w:tcW w:w="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1,060,612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​173,287​​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289,359​</w:t>
            </w:r>
          </w:p>
        </w:tc>
      </w:tr>
      <w:tr>
        <w:trPr>
          <w:trHeight w:val="20"/>
        </w:trPr>
        <w:tc>
          <w:tcPr>
            <w:tcW w:w="4000" w:type="dxa"/>
            <w:vAlign w:val="bottom"/>
            <w:shd w:val="clear" w:color="auto" w:fill="CCEEFF"/>
          </w:tcPr>
          <w:p>
            <w:pPr>
              <w:spacing w:after="0" w:line="20" w:lineRule="exact"/>
              <w:rPr>
                <w:sz w:val="1"/>
                <w:szCs w:val="1"/>
                <w:color w:val="auto"/>
              </w:rPr>
            </w:pPr>
          </w:p>
        </w:tc>
        <w:tc>
          <w:tcPr>
            <w:tcW w:w="18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40" w:type="dxa"/>
            <w:vAlign w:val="bottom"/>
            <w:tcBorders>
              <w:right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556,964</w:t>
            </w:r>
            <w:r>
              <w:rPr>
                <w:rFonts w:ascii="Times New Roman" w:cs="Times New Roman" w:eastAsia="Times New Roman" w:hAnsi="Times New Roman"/>
                <w:sz w:val="25"/>
                <w:szCs w:val="25"/>
                <w:b w:val="1"/>
                <w:bCs w:val="1"/>
                <w:color w:val="auto"/>
                <w:vertAlign w:val="subscript"/>
              </w:rPr>
              <w:t>​​</w:t>
            </w:r>
          </w:p>
        </w:tc>
        <w:tc>
          <w:tcPr>
            <w:tcW w:w="1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5"/>
                <w:szCs w:val="25"/>
                <w:b w:val="1"/>
                <w:bCs w:val="1"/>
                <w:color w:val="auto"/>
                <w:vertAlign w:val="superscript"/>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771,253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28625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28625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-513715</wp:posOffset>
            </wp:positionV>
            <wp:extent cx="42773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9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Amortization expense was $217,091 and $402,334 for the years ended December 31, 2021 and 2022. Gain on transfer of a E-player was $127,112 and $445,790 and proceeds from transfer of a E-player was $178,937 and $807,586 for the years ended December 31, 2021 and 2022.</w:t>
      </w:r>
    </w:p>
    <w:p>
      <w:pPr>
        <w:spacing w:after="0" w:line="88" w:lineRule="exact"/>
        <w:rPr>
          <w:sz w:val="20"/>
          <w:szCs w:val="20"/>
          <w:color w:val="auto"/>
        </w:rPr>
      </w:pPr>
    </w:p>
    <w:p>
      <w:pPr>
        <w:ind w:left="1260" w:right="127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schedule, by fiscal years, of amortization amount of intangible asset as of December 31, 2022.</w:t>
      </w:r>
    </w:p>
    <w:p>
      <w:pPr>
        <w:ind w:left="1620"/>
        <w:spacing w:after="0"/>
        <w:tabs>
          <w:tab w:leader="none" w:pos="8160" w:val="left"/>
          <w:tab w:leader="none" w:pos="8480" w:val="left"/>
        </w:tabs>
        <w:rPr>
          <w:sz w:val="20"/>
          <w:szCs w:val="20"/>
          <w:color w:val="auto"/>
        </w:rPr>
      </w:pPr>
      <w:r>
        <w:rPr>
          <w:rFonts w:ascii="Times New Roman" w:cs="Times New Roman" w:eastAsia="Times New Roman" w:hAnsi="Times New Roman"/>
          <w:sz w:val="14"/>
          <w:szCs w:val="14"/>
          <w:b w:val="1"/>
          <w:bCs w:val="1"/>
          <w:color w:val="auto"/>
        </w:rPr>
        <w:t>For the years ending December 31,</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625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2025</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60" w:lineRule="exact"/>
        <w:rPr>
          <w:sz w:val="20"/>
          <w:szCs w:val="20"/>
          <w:color w:val="auto"/>
        </w:rPr>
      </w:pPr>
    </w:p>
    <w:p>
      <w:pPr>
        <w:ind w:left="1620" w:hanging="360"/>
        <w:spacing w:after="0"/>
        <w:tabs>
          <w:tab w:leader="none" w:pos="162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​​$390,487​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​342,315​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38,451​</w:t>
      </w:r>
    </w:p>
    <w:p>
      <w:pPr>
        <w:spacing w:after="0" w:line="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198"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771,253</w:t>
      </w:r>
      <w:r>
        <w:rPr>
          <w:rFonts w:ascii="Times New Roman" w:cs="Times New Roman" w:eastAsia="Times New Roman" w:hAnsi="Times New Roman"/>
          <w:sz w:val="35"/>
          <w:szCs w:val="35"/>
          <w:b w:val="1"/>
          <w:bCs w:val="1"/>
          <w:color w:val="auto"/>
          <w:vertAlign w:val="subscript"/>
        </w:rPr>
        <w:t>​</w:t>
      </w:r>
    </w:p>
    <w:p>
      <w:pPr>
        <w:spacing w:after="0" w:line="1029" w:lineRule="exact"/>
        <w:rPr>
          <w:sz w:val="20"/>
          <w:szCs w:val="20"/>
          <w:color w:val="auto"/>
        </w:rPr>
      </w:pPr>
    </w:p>
    <w:p>
      <w:pPr>
        <w:sectPr>
          <w:pgSz w:w="11900" w:h="16838" w:orient="portrait"/>
          <w:cols w:equalWidth="0" w:num="2">
            <w:col w:w="7520" w:space="720"/>
            <w:col w:w="1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7"/>
        </w:trPr>
        <w:tc>
          <w:tcPr>
            <w:tcW w:w="45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36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2021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6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1680" w:type="dxa"/>
            <w:vAlign w:val="bottom"/>
            <w:tcBorders>
              <w:right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​​$129,018​​ ​​$155,443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83"/>
        </w:trPr>
        <w:tc>
          <w:tcPr>
            <w:tcW w:w="36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3"/>
                <w:szCs w:val="23"/>
                <w:color w:val="auto"/>
                <w:vertAlign w:val="superscript"/>
              </w:rPr>
              <w:t>(1)</w:t>
            </w:r>
          </w:p>
        </w:tc>
        <w:tc>
          <w:tcPr>
            <w:tcW w:w="16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​620,386​​ ​​ ​221,020​</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6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tc>
        <w:tc>
          <w:tcPr>
            <w:tcW w:w="1680" w:type="dxa"/>
            <w:vAlign w:val="bottom"/>
            <w:tcBorders>
              <w:right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749,404</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376,463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-273685</wp:posOffset>
            </wp:positionV>
            <wp:extent cx="431165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-608330</wp:posOffset>
            </wp:positionV>
            <wp:extent cx="430339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06" w:lineRule="exact"/>
        <w:rPr>
          <w:sz w:val="20"/>
          <w:szCs w:val="20"/>
          <w:color w:val="auto"/>
        </w:rPr>
      </w:pPr>
    </w:p>
    <w:p>
      <w:pPr>
        <w:ind w:left="1620" w:hanging="360"/>
        <w:spacing w:after="0"/>
        <w:tabs>
          <w:tab w:leader="none" w:pos="16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expenses mainly consisted of supplier payables for professional services, catering reception, and rent.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8" w:name="page279"/>
    <w:bookmarkEnd w:id="2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1260" w:right="1580" w:firstLine="360"/>
        <w:spacing w:after="0" w:line="266" w:lineRule="auto"/>
        <w:rPr>
          <w:sz w:val="20"/>
          <w:szCs w:val="20"/>
          <w:color w:val="auto"/>
        </w:rPr>
      </w:pPr>
      <w:r>
        <w:rPr>
          <w:rFonts w:ascii="Times New Roman" w:cs="Times New Roman" w:eastAsia="Times New Roman" w:hAnsi="Times New Roman"/>
          <w:sz w:val="18"/>
          <w:szCs w:val="18"/>
          <w:color w:val="auto"/>
        </w:rPr>
        <w:t>NIP leases offices space under non-cancellable operating leases. NIP considers those renewal or termination options that are reasonably certain to be exercised in the determination of the lease term and initial measurement of right-of-use assets and lease liabilities.</w:t>
      </w:r>
    </w:p>
    <w:p>
      <w:pPr>
        <w:spacing w:after="0" w:line="108" w:lineRule="exact"/>
        <w:rPr>
          <w:sz w:val="20"/>
          <w:szCs w:val="20"/>
          <w:color w:val="auto"/>
        </w:rPr>
      </w:pPr>
    </w:p>
    <w:p>
      <w:pPr>
        <w:ind w:left="1260" w:right="1480" w:firstLine="360"/>
        <w:spacing w:after="0" w:line="282" w:lineRule="auto"/>
        <w:rPr>
          <w:sz w:val="20"/>
          <w:szCs w:val="20"/>
          <w:color w:val="auto"/>
        </w:rPr>
      </w:pPr>
      <w:r>
        <w:rPr>
          <w:rFonts w:ascii="Times New Roman" w:cs="Times New Roman" w:eastAsia="Times New Roman" w:hAnsi="Times New Roman"/>
          <w:sz w:val="18"/>
          <w:szCs w:val="18"/>
          <w:color w:val="auto"/>
        </w:rPr>
        <w:t>NIP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1260" w:right="1520"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2022, NIP had no long-term leases that were classified as a financing lease, and NIP’s lease contracts only contain fixed lease payments and do not contain any residual value guarantee. NIP’s lease agreements do not contain any material residual value guarantees or material restrictive covenants.</w:t>
      </w:r>
    </w:p>
    <w:p>
      <w:pPr>
        <w:spacing w:after="0" w:line="99" w:lineRule="exact"/>
        <w:rPr>
          <w:sz w:val="20"/>
          <w:szCs w:val="20"/>
          <w:color w:val="auto"/>
        </w:rPr>
      </w:pPr>
    </w:p>
    <w:p>
      <w:pPr>
        <w:ind w:left="1260" w:right="1640" w:firstLine="360"/>
        <w:spacing w:after="0" w:line="282" w:lineRule="auto"/>
        <w:rPr>
          <w:sz w:val="20"/>
          <w:szCs w:val="20"/>
          <w:color w:val="auto"/>
        </w:rPr>
      </w:pPr>
      <w:r>
        <w:rPr>
          <w:rFonts w:ascii="Times New Roman" w:cs="Times New Roman" w:eastAsia="Times New Roman" w:hAnsi="Times New Roman"/>
          <w:sz w:val="18"/>
          <w:szCs w:val="18"/>
          <w:color w:val="auto"/>
        </w:rPr>
        <w:t>A summary of lease expense recognized in NIP’s statements of income and comprehensive income (loss) is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5"/>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expense excluding short-term lease expense</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34,853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9"/>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​336,900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​256,897</w:t>
            </w:r>
            <w:r>
              <w:rPr>
                <w:rFonts w:ascii="Times New Roman" w:cs="Times New Roman" w:eastAsia="Times New Roman" w:hAnsi="Times New Roman"/>
                <w:sz w:val="31"/>
                <w:szCs w:val="31"/>
                <w:color w:val="auto"/>
                <w:vertAlign w:val="subscript"/>
              </w:rPr>
              <w:t>​</w:t>
            </w:r>
          </w:p>
        </w:tc>
      </w:tr>
      <w:tr>
        <w:trPr>
          <w:trHeight w:val="20"/>
        </w:trPr>
        <w:tc>
          <w:tcPr>
            <w:tcW w:w="5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8"/>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336,900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291,750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1165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0339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1" w:lineRule="exact"/>
        <w:rPr>
          <w:sz w:val="20"/>
          <w:szCs w:val="20"/>
          <w:color w:val="auto"/>
        </w:rPr>
      </w:pPr>
    </w:p>
    <w:p>
      <w:pPr>
        <w:ind w:left="1260" w:right="1380" w:firstLine="360"/>
        <w:spacing w:after="0" w:line="261" w:lineRule="auto"/>
        <w:rPr>
          <w:sz w:val="20"/>
          <w:szCs w:val="20"/>
          <w:color w:val="auto"/>
        </w:rPr>
      </w:pPr>
      <w:r>
        <w:rPr>
          <w:rFonts w:ascii="Times New Roman" w:cs="Times New Roman" w:eastAsia="Times New Roman" w:hAnsi="Times New Roman"/>
          <w:sz w:val="18"/>
          <w:szCs w:val="18"/>
          <w:color w:val="auto"/>
        </w:rPr>
        <w:t>NIP’s lease agreements do not have a discount rate that is readily determinable. The incremental borrowing rate is determined at lease commencement or lease modification and represents the rate of interest NIP would have to pay to borrow on a collateralized basis over a similar term and an amount equal to the lease payments in a similar economic environment.</w:t>
      </w:r>
    </w:p>
    <w:p>
      <w:pPr>
        <w:spacing w:after="0" w:line="112" w:lineRule="exact"/>
        <w:rPr>
          <w:sz w:val="20"/>
          <w:szCs w:val="20"/>
          <w:color w:val="auto"/>
        </w:rPr>
      </w:pPr>
    </w:p>
    <w:p>
      <w:pPr>
        <w:jc w:val="both"/>
        <w:ind w:left="1260" w:right="1340" w:firstLine="360"/>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$67,763 for the year ended December 31, 2022. Right-of-use assets obtained in exchange for new lease liabilities was $579,806 for the year ended December 31, 2022.</w:t>
      </w:r>
    </w:p>
    <w:p>
      <w:pPr>
        <w:spacing w:after="0" w:line="95" w:lineRule="exact"/>
        <w:rPr>
          <w:sz w:val="20"/>
          <w:szCs w:val="20"/>
          <w:color w:val="auto"/>
        </w:rPr>
      </w:pPr>
    </w:p>
    <w:p>
      <w:pPr>
        <w:ind w:left="1260" w:right="1380"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2022, the weighted average remaining lease term was 2.8 years, and the weighted average discount rate was 3.60% for NIP’s operating leases.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NIP’s operating leases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440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800" w:type="dxa"/>
            <w:vAlign w:val="bottom"/>
            <w:gridSpan w:val="2"/>
          </w:tcPr>
          <w:p>
            <w:pPr>
              <w:ind w:left="3580"/>
              <w:spacing w:after="0"/>
              <w:rPr>
                <w:sz w:val="20"/>
                <w:szCs w:val="20"/>
                <w:color w:val="auto"/>
              </w:rPr>
            </w:pPr>
            <w:r>
              <w:rPr>
                <w:rFonts w:ascii="Times New Roman" w:cs="Times New Roman" w:eastAsia="Times New Roman" w:hAnsi="Times New Roman"/>
                <w:sz w:val="14"/>
                <w:szCs w:val="14"/>
                <w:b w:val="1"/>
                <w:bCs w:val="1"/>
                <w:color w:val="auto"/>
              </w:rPr>
              <w:t>​ ​</w:t>
            </w:r>
          </w:p>
        </w:tc>
        <w:tc>
          <w:tcPr>
            <w:tcW w:w="2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Lease payment</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​$202,997</w:t>
            </w:r>
          </w:p>
        </w:tc>
        <w:tc>
          <w:tcPr>
            <w:tcW w:w="100" w:type="dxa"/>
            <w:vAlign w:val="bottom"/>
            <w:tcBorders>
              <w:top w:val="single" w:sz="8" w:color="auto"/>
            </w:tcBorders>
            <w:shd w:val="clear" w:color="auto" w:fill="CCEEFF"/>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4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​202,997</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​169,164</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5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70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xml:space="preserve"> ​575,158</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59,788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44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515,370</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6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​187,518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44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Non-current portion</w:t>
            </w:r>
          </w:p>
        </w:tc>
        <w:tc>
          <w:tcPr>
            <w:tcW w:w="35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327,852</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F-72</w:t>
            </w: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1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-1430655</wp:posOffset>
            </wp:positionV>
            <wp:extent cx="474916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-2116455</wp:posOffset>
            </wp:positionV>
            <wp:extent cx="1371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79" w:name="page280"/>
    <w:bookmarkEnd w:id="2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2021 AND 2022</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176" w:lineRule="exact"/>
        <w:rPr>
          <w:sz w:val="20"/>
          <w:szCs w:val="20"/>
          <w:color w:val="auto"/>
        </w:rPr>
      </w:pPr>
    </w:p>
    <w:p>
      <w:pPr>
        <w:ind w:left="1620" w:hanging="360"/>
        <w:spacing w:after="0"/>
        <w:tabs>
          <w:tab w:leader="none" w:pos="162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ectPr>
          <w:pgSz w:w="11900" w:h="16838" w:orient="portrait"/>
          <w:cols w:equalWidth="0" w:num="1">
            <w:col w:w="9879"/>
          </w:cols>
          <w:pgMar w:left="580" w:top="97" w:right="1440" w:bottom="1440" w:gutter="0" w:footer="0" w:header="0"/>
        </w:sect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p>
      <w:pPr>
        <w:spacing w:after="0" w:line="148" w:lineRule="exact"/>
        <w:rPr>
          <w:sz w:val="20"/>
          <w:szCs w:val="20"/>
          <w:color w:val="auto"/>
        </w:rPr>
      </w:pPr>
    </w:p>
    <w:p>
      <w:pPr>
        <w:ind w:left="1260" w:firstLine="360"/>
        <w:spacing w:after="0" w:line="271" w:lineRule="auto"/>
        <w:rPr>
          <w:sz w:val="20"/>
          <w:szCs w:val="20"/>
          <w:color w:val="auto"/>
        </w:rPr>
      </w:pPr>
      <w:r>
        <w:rPr>
          <w:rFonts w:ascii="Times New Roman" w:cs="Times New Roman" w:eastAsia="Times New Roman" w:hAnsi="Times New Roman"/>
          <w:sz w:val="18"/>
          <w:szCs w:val="18"/>
          <w:color w:val="auto"/>
        </w:rPr>
        <w:t>Generally, NIP is considered Sweden resident enterprises under Sweden tax law, and is subject to enterprise income tax on their worldwide taxable income as determined under Sweden tax laws. The applicable statutory income tax rate for the years ended December 31, 2021 and 2022 is 20.6%, unless otherwise specified.</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income tax provision consists of the following components: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r>
      <w:tr>
        <w:trPr>
          <w:trHeight w:val="21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30339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-170815</wp:posOffset>
            </wp:positionV>
            <wp:extent cx="102870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ectPr>
          <w:pgSz w:w="11900" w:h="16838" w:orient="portrait"/>
          <w:cols w:equalWidth="0" w:num="2">
            <w:col w:w="8980" w:space="120"/>
            <w:col w:w="77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0"/>
        </w:trPr>
        <w:tc>
          <w:tcPr>
            <w:tcW w:w="39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3500" w:type="dxa"/>
            <w:vAlign w:val="bottom"/>
            <w:gridSpan w:val="5"/>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​​$ 37,263​​ ​​$144,845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expenses</w:t>
            </w:r>
          </w:p>
        </w:tc>
        <w:tc>
          <w:tcPr>
            <w:tcW w:w="3140" w:type="dxa"/>
            <w:vAlign w:val="bottom"/>
            <w:gridSpan w:val="4"/>
          </w:tcPr>
          <w:p>
            <w:pPr>
              <w:ind w:left="172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​429,095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r>
      <w:tr>
        <w:trPr>
          <w:trHeight w:val="20"/>
        </w:trPr>
        <w:tc>
          <w:tcPr>
            <w:tcW w:w="39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expenses</w:t>
            </w:r>
          </w:p>
        </w:tc>
        <w:tc>
          <w:tcPr>
            <w:tcW w:w="3500" w:type="dxa"/>
            <w:vAlign w:val="bottom"/>
            <w:gridSpan w:val="5"/>
            <w:shd w:val="clear" w:color="auto" w:fill="CCEEFF"/>
          </w:tcPr>
          <w:p>
            <w:pPr>
              <w:ind w:left="17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466,358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144,845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1165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05" w:lineRule="exact"/>
        <w:rPr>
          <w:sz w:val="20"/>
          <w:szCs w:val="20"/>
          <w:color w:val="auto"/>
        </w:rPr>
      </w:pPr>
    </w:p>
    <w:p>
      <w:pPr>
        <w:ind w:left="1260" w:right="859" w:firstLine="360"/>
        <w:spacing w:after="0" w:line="297" w:lineRule="auto"/>
        <w:rPr>
          <w:sz w:val="20"/>
          <w:szCs w:val="20"/>
          <w:color w:val="auto"/>
        </w:rPr>
      </w:pPr>
      <w:r>
        <w:rPr>
          <w:rFonts w:ascii="Times New Roman" w:cs="Times New Roman" w:eastAsia="Times New Roman" w:hAnsi="Times New Roman"/>
          <w:sz w:val="18"/>
          <w:szCs w:val="18"/>
          <w:color w:val="auto"/>
        </w:rPr>
        <w:t>A reconciliation between NIP’s actual provision for income taxes and the provision at the Sweden statutory rate is as follows:</w:t>
      </w:r>
    </w:p>
    <w:p>
      <w:pPr>
        <w:sectPr>
          <w:pgSz w:w="11900" w:h="16838" w:orient="portrait"/>
          <w:cols w:equalWidth="0" w:num="1">
            <w:col w:w="9879"/>
          </w:cols>
          <w:pgMar w:left="580" w:top="97" w:right="1440" w:bottom="1440" w:gutter="0" w:footer="0" w:header="0"/>
          <w:type w:val="continuous"/>
        </w:sectPr>
      </w:pPr>
    </w:p>
    <w:p>
      <w:pPr>
        <w:spacing w:after="0" w:line="3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before income tax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 expenses at the Sweden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of non-deductible staff representation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of 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effect of undeclared expenses*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 w:type="dxa"/>
            <w:vAlign w:val="bottom"/>
          </w:tcPr>
          <w:p>
            <w:pPr>
              <w:spacing w:after="0"/>
              <w:rPr>
                <w:sz w:val="14"/>
                <w:szCs w:val="14"/>
                <w:color w:val="auto"/>
              </w:rPr>
            </w:pP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​​$2,142,100​​ ​​$401,404​</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441,273​​ ​​ ​ 82,689​</w:t>
      </w:r>
    </w:p>
    <w:p>
      <w:pPr>
        <w:spacing w:after="0" w:line="50"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 ​ 16,266​</w:t>
      </w:r>
    </w:p>
    <w:p>
      <w:pPr>
        <w:spacing w:after="0" w:line="50" w:lineRule="exact"/>
        <w:rPr>
          <w:sz w:val="20"/>
          <w:szCs w:val="20"/>
          <w:color w:val="auto"/>
        </w:rPr>
      </w:pPr>
    </w:p>
    <w:p>
      <w:pPr>
        <w:ind w:left="60"/>
        <w:spacing w:after="0"/>
        <w:tabs>
          <w:tab w:leader="none" w:pos="640" w:val="left"/>
          <w:tab w:leader="none" w:pos="15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8,656​​ ​​ ​</w:t>
        <w:tab/>
        <w:t>3,479​</w:t>
      </w:r>
    </w:p>
    <w:p>
      <w:pPr>
        <w:ind w:left="60"/>
        <w:spacing w:after="0" w:line="190" w:lineRule="auto"/>
        <w:tabs>
          <w:tab w:leader="none" w:pos="54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16,429</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xml:space="preserve"> ​ 42,411</w:t>
      </w:r>
      <w:r>
        <w:rPr>
          <w:rFonts w:ascii="Times New Roman" w:cs="Times New Roman" w:eastAsia="Times New Roman" w:hAnsi="Times New Roman"/>
          <w:sz w:val="35"/>
          <w:szCs w:val="35"/>
          <w:color w:val="auto"/>
          <w:vertAlign w:val="subscript"/>
        </w:rPr>
        <w:t>​</w:t>
      </w:r>
    </w:p>
    <w:p>
      <w:pPr>
        <w:ind w:left="60"/>
        <w:spacing w:after="0" w:line="185" w:lineRule="auto"/>
        <w:tabs>
          <w:tab w:leader="none" w:pos="46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466,358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144,845</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6400" w:space="720"/>
            <w:col w:w="2759"/>
          </w:cols>
          <w:pgMar w:left="580" w:top="97" w:right="1440" w:bottom="1440" w:gutter="0" w:footer="0" w:header="0"/>
          <w:type w:val="continuous"/>
        </w:sectPr>
      </w:pPr>
    </w:p>
    <w:p>
      <w:pPr>
        <w:spacing w:after="0" w:line="89" w:lineRule="exact"/>
        <w:rPr>
          <w:sz w:val="20"/>
          <w:szCs w:val="20"/>
          <w:color w:val="auto"/>
        </w:rPr>
      </w:pPr>
    </w:p>
    <w:p>
      <w:pPr>
        <w:ind w:left="1620" w:hanging="360"/>
        <w:spacing w:after="0"/>
        <w:tabs>
          <w:tab w:leader="none" w:pos="16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items are mainly due to non-includable US GAAP adjustment</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Movement of deferred tax assets for the year ended December 31, 2021 is as follow:</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​$ 406,876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Utilization of net operating loss carryforwards</w:t>
            </w:r>
          </w:p>
        </w:tc>
        <w:tc>
          <w:tcPr>
            <w:tcW w:w="9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​(174,891)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revenue adjusted for timing difference</w:t>
            </w:r>
          </w:p>
        </w:tc>
        <w:tc>
          <w:tcPr>
            <w:tcW w:w="9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​(219,481)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adjusted for timing difference</w:t>
            </w:r>
          </w:p>
        </w:tc>
        <w:tc>
          <w:tcPr>
            <w:tcW w:w="94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(34,723)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940" w:type="dxa"/>
            <w:vAlign w:val="bottom"/>
            <w:shd w:val="clear" w:color="auto" w:fill="CCEEFF"/>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2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2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revenue adjusted for timing difference</w:t>
            </w:r>
          </w:p>
        </w:tc>
        <w:tc>
          <w:tcPr>
            <w:tcW w:w="9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adjusted for timing difference</w:t>
            </w:r>
          </w:p>
        </w:tc>
        <w:tc>
          <w:tcPr>
            <w:tcW w:w="9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2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b w:val="1"/>
                <w:bCs w:val="1"/>
                <w:color w:val="auto"/>
                <w:vertAlign w:val="superscript"/>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-1250950</wp:posOffset>
            </wp:positionV>
            <wp:extent cx="4749165" cy="1460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-951230</wp:posOffset>
            </wp:positionV>
            <wp:extent cx="4749165" cy="1803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-565150</wp:posOffset>
            </wp:positionV>
            <wp:extent cx="4749165" cy="1625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-1551305</wp:posOffset>
            </wp:positionV>
            <wp:extent cx="4749165" cy="154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0" w:name="page281"/>
    <w:bookmarkEnd w:id="2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620" w:hanging="360"/>
        <w:spacing w:after="0"/>
        <w:tabs>
          <w:tab w:leader="none" w:pos="162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 (continued)</w:t>
      </w:r>
    </w:p>
    <w:p>
      <w:pPr>
        <w:spacing w:after="0" w:line="229"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Net operating loss arising in Sweden will not expire for deduction against future taxable profit. As of December 31, 2021 and 2022, NIP had no balance in deferred tax assets and deferred tax liability.</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NIP evaluates each uncertain tax position (including the potential application of interest and penalties) based on the technical merits, and measure the unrecognized benefits associated with the tax positions. As of December 31, 2022, NIP did not have any significant unrecognized uncertain tax positions. NIP does not believe that its uncertain tax benefits position will materially change over the next twelve months. As of December 31, 2022, income for tax returns for the tax years ended December 31, 2017 through December 31, 2021, remain open for statutory examination.</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ORDINARY SHARES</w:t>
      </w:r>
    </w:p>
    <w:p>
      <w:pPr>
        <w:spacing w:after="0" w:line="162" w:lineRule="exact"/>
        <w:rPr>
          <w:sz w:val="20"/>
          <w:szCs w:val="20"/>
          <w:color w:val="auto"/>
        </w:rPr>
      </w:pPr>
    </w:p>
    <w:p>
      <w:pPr>
        <w:ind w:left="1260" w:right="639" w:firstLine="360"/>
        <w:spacing w:after="0" w:line="297" w:lineRule="auto"/>
        <w:rPr>
          <w:sz w:val="20"/>
          <w:szCs w:val="20"/>
          <w:color w:val="auto"/>
        </w:rPr>
      </w:pPr>
      <w:r>
        <w:rPr>
          <w:rFonts w:ascii="Times New Roman" w:cs="Times New Roman" w:eastAsia="Times New Roman" w:hAnsi="Times New Roman"/>
          <w:sz w:val="18"/>
          <w:szCs w:val="18"/>
          <w:color w:val="auto"/>
        </w:rPr>
        <w:t>In January, 2014, NIP was incorporated as limited liability company with maximum authorized share capital of $313,600 divided into 6,400,000 shares with par value $0.0490 each.</w:t>
      </w:r>
    </w:p>
    <w:p>
      <w:pPr>
        <w:spacing w:after="0" w:line="82"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NIP presents 1,706,215 ordinary shares as of December 31, 2020. In July, 2021, F0rest Gaming AB withdrew capital contribution of $34,600 and deregistered 22,000 ordinary shares. In December, 2021, NIP issued 48,505 ordinary shares, and proceeds from shareholders contribution were $2,720.</w:t>
      </w:r>
    </w:p>
    <w:p>
      <w:pPr>
        <w:spacing w:after="0" w:line="128" w:lineRule="exact"/>
        <w:rPr>
          <w:sz w:val="20"/>
          <w:szCs w:val="20"/>
          <w:color w:val="auto"/>
        </w:rPr>
      </w:pPr>
    </w:p>
    <w:p>
      <w:pPr>
        <w:jc w:val="both"/>
        <w:ind w:left="1260" w:right="759" w:firstLine="360"/>
        <w:spacing w:after="0" w:line="281" w:lineRule="auto"/>
        <w:rPr>
          <w:sz w:val="20"/>
          <w:szCs w:val="20"/>
          <w:color w:val="auto"/>
        </w:rPr>
      </w:pPr>
      <w:r>
        <w:rPr>
          <w:rFonts w:ascii="Times New Roman" w:cs="Times New Roman" w:eastAsia="Times New Roman" w:hAnsi="Times New Roman"/>
          <w:sz w:val="18"/>
          <w:szCs w:val="18"/>
          <w:color w:val="auto"/>
        </w:rPr>
        <w:t>NIP presents 1,732,720 ordinary shares as of December 31, 2021 and 2022, out of which, 542,740, 531,520, 498,300, and 160,160 shares are held by Diglife AS, Nyx Ventures AS, Sense Holding AB and other shareholders, respectively, proportional to the shareholders’ capital injection.</w:t>
      </w:r>
    </w:p>
    <w:p>
      <w:pPr>
        <w:spacing w:after="0" w:line="18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Financial instruments that potentially expose NIP to concentrations of credit risk consist primarily of accounts receivable. NIP conducts credit evaluations of its customers, and generally does not require collateral or other security from them. NIP evaluates its collection experience and long outstanding balances to determine the need for an allowance for doubtful accounts. NIP conducts periodic reviews of the financial condition and payment practices of its customers to minimize collection risk on accounts receivable.</w:t>
      </w:r>
    </w:p>
    <w:p>
      <w:pPr>
        <w:spacing w:after="0" w:line="105"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NIP’s total revenue:</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700" w:type="dxa"/>
            <w:vAlign w:val="bottom"/>
          </w:tcPr>
          <w:p>
            <w:pPr>
              <w:ind w:left="44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700" w:type="dxa"/>
            <w:vAlign w:val="bottom"/>
          </w:tcPr>
          <w:p>
            <w:pPr>
              <w:ind w:left="45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4"/>
          </w:tcPr>
          <w:p>
            <w:pPr>
              <w:jc w:val="right"/>
              <w:ind w:righ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470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w:t>
            </w:r>
            <w:r>
              <w:rPr>
                <w:rFonts w:ascii="Times New Roman" w:cs="Times New Roman" w:eastAsia="Times New Roman" w:hAnsi="Times New Roman"/>
                <w:sz w:val="18"/>
                <w:szCs w:val="18"/>
                <w:color w:val="auto"/>
                <w:w w:val="90"/>
              </w:rPr>
              <w:t>21%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6"/>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B</w:t>
            </w:r>
          </w:p>
        </w:tc>
        <w:tc>
          <w:tcPr>
            <w:tcW w:w="47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 ​</w:t>
            </w:r>
          </w:p>
        </w:tc>
        <w:tc>
          <w:tcPr>
            <w:tcW w:w="160" w:type="dxa"/>
            <w:vAlign w:val="bottom"/>
          </w:tcPr>
          <w:p>
            <w:pPr>
              <w:spacing w:after="0"/>
              <w:rPr>
                <w:sz w:val="22"/>
                <w:szCs w:val="22"/>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470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160" w:type="dxa"/>
            <w:vAlign w:val="bottom"/>
            <w:tcBorders>
              <w:right w:val="single" w:sz="8" w:color="CCEEFF"/>
            </w:tcBorders>
            <w:shd w:val="clear" w:color="auto" w:fill="CCEEFF"/>
          </w:tcPr>
          <w:p>
            <w:pPr>
              <w:spacing w:after="0"/>
              <w:rPr>
                <w:sz w:val="23"/>
                <w:szCs w:val="23"/>
                <w:color w:val="auto"/>
              </w:rPr>
            </w:pPr>
          </w:p>
        </w:tc>
        <w:tc>
          <w:tcPr>
            <w:tcW w:w="36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w w:val="96"/>
                <w:vertAlign w:val="subscript"/>
              </w:rPr>
              <w:t>​</w:t>
            </w:r>
            <w:r>
              <w:rPr>
                <w:rFonts w:ascii="Times New Roman" w:cs="Times New Roman" w:eastAsia="Times New Roman" w:hAnsi="Times New Roman"/>
                <w:sz w:val="17"/>
                <w:szCs w:val="17"/>
                <w:color w:val="auto"/>
                <w:w w:val="96"/>
              </w:rPr>
              <w:t>11%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0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​65%</w:t>
            </w:r>
            <w:r>
              <w:rPr>
                <w:rFonts w:ascii="Times New Roman" w:cs="Times New Roman" w:eastAsia="Times New Roman" w:hAnsi="Times New Roman"/>
                <w:sz w:val="15"/>
                <w:szCs w:val="15"/>
                <w:b w:val="1"/>
                <w:bCs w:val="1"/>
                <w:color w:val="auto"/>
              </w:rPr>
              <w:t>​​ ​</w:t>
            </w:r>
          </w:p>
        </w:tc>
        <w:tc>
          <w:tcPr>
            <w:tcW w:w="160" w:type="dxa"/>
            <w:vAlign w:val="bottom"/>
          </w:tcPr>
          <w:p>
            <w:pPr>
              <w:spacing w:after="0"/>
              <w:rPr>
                <w:sz w:val="22"/>
                <w:szCs w:val="22"/>
                <w:color w:val="auto"/>
              </w:rPr>
            </w:pPr>
          </w:p>
        </w:tc>
        <w:tc>
          <w:tcPr>
            <w:tcW w:w="3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​49%</w:t>
            </w:r>
            <w:r>
              <w:rPr>
                <w:rFonts w:ascii="Times New Roman" w:cs="Times New Roman" w:eastAsia="Times New Roman" w:hAnsi="Times New Roman"/>
                <w:sz w:val="28"/>
                <w:szCs w:val="28"/>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-805180</wp:posOffset>
            </wp:positionV>
            <wp:extent cx="443166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33" w:lineRule="exact"/>
        <w:rPr>
          <w:sz w:val="20"/>
          <w:szCs w:val="20"/>
          <w:color w:val="auto"/>
        </w:rPr>
      </w:pPr>
    </w:p>
    <w:p>
      <w:pPr>
        <w:ind w:left="1620" w:hanging="360"/>
        <w:spacing w:after="0"/>
        <w:tabs>
          <w:tab w:leader="none" w:pos="16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percentage less than 10%</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1" w:name="page282"/>
    <w:bookmarkEnd w:id="2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NINJAS IN PYJAMAS GAMING AB</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2022</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CONCENTRATION OF CREDIT RISK — (continued)</w:t>
      </w:r>
    </w:p>
    <w:p>
      <w:pPr>
        <w:spacing w:after="0" w:line="22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NIP’s total accounts receivable:</w:t>
      </w:r>
    </w:p>
    <w:tbl>
      <w:tblPr>
        <w:tblLayout w:type="fixed"/>
        <w:tblInd w:w="1260" w:type="dxa"/>
        <w:tblCellMar>
          <w:top w:w="0" w:type="dxa"/>
          <w:left w:w="0" w:type="dxa"/>
          <w:bottom w:w="0" w:type="dxa"/>
          <w:right w:w="0" w:type="dxa"/>
        </w:tblCellMar>
      </w:tblPr>
      <w:tr>
        <w:trPr>
          <w:trHeight w:val="378"/>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66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6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660" w:type="dxa"/>
            <w:vAlign w:val="bottom"/>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D</w:t>
            </w:r>
          </w:p>
        </w:tc>
        <w:tc>
          <w:tcPr>
            <w:tcW w:w="46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4660" w:type="dxa"/>
            <w:vAlign w:val="bottom"/>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46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​15%</w:t>
            </w:r>
            <w:r>
              <w:rPr>
                <w:rFonts w:ascii="Times New Roman" w:cs="Times New Roman" w:eastAsia="Times New Roman" w:hAnsi="Times New Roman"/>
                <w:sz w:val="17"/>
                <w:szCs w:val="17"/>
                <w:color w:val="auto"/>
              </w:rPr>
              <w:t>​​ ​</w:t>
            </w:r>
          </w:p>
        </w:tc>
        <w:tc>
          <w:tcPr>
            <w:tcW w:w="5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​11%</w:t>
            </w:r>
            <w:r>
              <w:rPr>
                <w:rFonts w:ascii="Times New Roman" w:cs="Times New Roman" w:eastAsia="Times New Roman" w:hAnsi="Times New Roman"/>
                <w:sz w:val="31"/>
                <w:szCs w:val="31"/>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60" w:type="dxa"/>
            <w:vAlign w:val="bottom"/>
            <w:shd w:val="clear" w:color="auto" w:fill="CCEEFF"/>
          </w:tcPr>
          <w:p>
            <w:pPr>
              <w:ind w:left="450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​78%</w:t>
            </w:r>
            <w:r>
              <w:rPr>
                <w:rFonts w:ascii="Times New Roman" w:cs="Times New Roman" w:eastAsia="Times New Roman" w:hAnsi="Times New Roman"/>
                <w:sz w:val="28"/>
                <w:szCs w:val="28"/>
                <w:b w:val="1"/>
                <w:bCs w:val="1"/>
                <w:color w:val="auto"/>
                <w:vertAlign w:val="subscript"/>
              </w:rPr>
              <w:t>​​ ​</w:t>
            </w:r>
          </w:p>
        </w:tc>
        <w:tc>
          <w:tcPr>
            <w:tcW w:w="50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​84%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4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74916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42341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percentage less than 10%</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January 10, 2023, NIP entered into a share purchase agreement (the “SPA”) with NIP Group Inc. (“NIP Group”), pursuant to which the shareholders of NIP shall subscribe for 40,705,418 shares of NIP Group in exchange for 100% shares in NIP. Upon the completion, 40,705,418 shares shall constitute 40% of the total issued shares of NIP Group, assuming the full exercise of the shares and calculation on a fully diluted and as-converted basis. NIP is in the process of evaluating the financial effect of this transaction.</w:t>
      </w:r>
    </w:p>
    <w:p>
      <w:pPr>
        <w:spacing w:after="0" w:line="11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NIP has performed an evaluation of subsequent events through June 5, 2023, which was the date of the issuance of the financial statements, and did not identify any subsequent events with material financial impact on the financial statements other than those discussed in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2" w:name="page283"/>
    <w:bookmarkEnd w:id="2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ROSPECTUS</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10"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32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is filed as Exhibit 10.2 to this registration statement, we agree to indemnify our directors and executive officers against certain liabilities and expenses incurred by such persons in connection with claims made by reason of their being such a director or officer.</w:t>
      </w:r>
    </w:p>
    <w:p>
      <w:pPr>
        <w:spacing w:after="0" w:line="323"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indemnification for us and our officers and directors for certain liabilities, including liabilities arising under the Securities Act, but only to the extent that such liabilities are caused by information relating to the underwriters furnished to us in writing expressly for use in this registration statement and certain other disclosure documents.</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No underwriters were involved in these issuances of securities.</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9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Osiris International Cayman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5,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6"/>
              <w:spacing w:after="0"/>
              <w:rPr>
                <w:sz w:val="20"/>
                <w:szCs w:val="20"/>
                <w:color w:val="auto"/>
              </w:rPr>
            </w:pPr>
            <w:r>
              <w:rPr>
                <w:rFonts w:ascii="Times New Roman" w:cs="Times New Roman" w:eastAsia="Times New Roman" w:hAnsi="Times New Roman"/>
                <w:sz w:val="18"/>
                <w:szCs w:val="18"/>
                <w:color w:val="auto"/>
                <w:w w:val="88"/>
              </w:rPr>
              <w:t>1</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Nominal​</w:t>
            </w:r>
          </w:p>
        </w:tc>
      </w:tr>
      <w:tr>
        <w:trPr>
          <w:trHeight w:val="22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xiaOt Sun Holdings Limited</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10,274,550</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19"/>
                <w:szCs w:val="19"/>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Ayisia Zhou Holdings Limited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5,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1,934,570</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Nominal​</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RayZ Holdings Limited</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rPr>
              <w:t>679,140</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r>
      <w:tr>
        <w:trPr>
          <w:trHeight w:val="22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Seventh Hokage Management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18,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15,816,680</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Nominal​</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xiaOt Sun Holdings Limited</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29,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8,854,188</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Ayisia Zhou Holdings Limited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29,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6"/>
              <w:spacing w:after="0"/>
              <w:rPr>
                <w:sz w:val="20"/>
                <w:szCs w:val="20"/>
                <w:color w:val="auto"/>
              </w:rPr>
            </w:pPr>
            <w:r>
              <w:rPr>
                <w:rFonts w:ascii="Times New Roman" w:cs="Times New Roman" w:eastAsia="Times New Roman" w:hAnsi="Times New Roman"/>
                <w:sz w:val="18"/>
                <w:szCs w:val="18"/>
                <w:color w:val="auto"/>
              </w:rPr>
              <w:t>278,974</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Nominal​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-1533525</wp:posOffset>
            </wp:positionV>
            <wp:extent cx="514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-1533525</wp:posOffset>
            </wp:positionV>
            <wp:extent cx="5143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-1533525</wp:posOffset>
            </wp:positionV>
            <wp:extent cx="514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3" w:name="page284"/>
    <w:bookmarkEnd w:id="2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4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RayZ Holdings 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29,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148,545</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Seventh Hokage Management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29,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15,613,982</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Nominal​</w:t>
            </w:r>
          </w:p>
        </w:tc>
      </w:tr>
      <w:tr>
        <w:trPr>
          <w:trHeight w:val="23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Blooming Time International</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4,123,826</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spacing w:after="0"/>
              <w:rPr>
                <w:sz w:val="20"/>
                <w:szCs w:val="20"/>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Seventh Hokage Management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14,448,668</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Nominal​</w:t>
            </w:r>
          </w:p>
        </w:tc>
      </w:tr>
      <w:tr>
        <w:trPr>
          <w:trHeight w:val="23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 China Investments Master</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IV, LLLP</w:t>
            </w:r>
          </w:p>
        </w:tc>
        <w:tc>
          <w:tcPr>
            <w:tcW w:w="1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1,165,314</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Danny Yu Holdings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18, 2022</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1,404,255</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Nominal​</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Oscar Gu Holdings 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2022</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2,106,383</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xiaOt Sun Holdings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508,799</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RMB343,313​</w:t>
            </w:r>
          </w:p>
        </w:tc>
      </w:tr>
      <w:tr>
        <w:trPr>
          <w:trHeight w:val="23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Seventh Hokage Management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830,282</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RMB719,319​</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Ayisia Zhou Holdings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127,200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RMB70,385​</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RayZ Holdings 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96"/>
              </w:rPr>
              <w:t>47,562</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RMB24,709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Blooming Time International</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236,793</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RMB189,980​</w:t>
            </w:r>
          </w:p>
        </w:tc>
      </w:tr>
      <w:tr>
        <w:trPr>
          <w:trHeight w:val="23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 China Investments Master</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IV, LLLP</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96"/>
              </w:rPr>
              <w:t>66,964</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Danny Yu Holdings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80,694</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Nominal​</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Oscar Gu Holdings 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121,042</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Nominal</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Preferred Shares</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Yuyun Management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8,607,242</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RMB45,000,000​</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Douyu Investment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2,986,308</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RMB35,000,000​</w:t>
            </w:r>
          </w:p>
        </w:tc>
      </w:tr>
      <w:tr>
        <w:trPr>
          <w:trHeight w:val="22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Guojin Angel Venture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III Partnership (Limited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2,819,639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RMB40,000,000​</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Glorious Year Holdings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2,819,639</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RMB40,000,000​</w:t>
            </w:r>
          </w:p>
        </w:tc>
      </w:tr>
      <w:tr>
        <w:trPr>
          <w:trHeight w:val="24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 Thrive Limited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1,530,175</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RMB8,000,000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Shanghai Chuyuan Enterprise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Partnership (Limited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1,409,873</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RMB20,000,000​</w:t>
            </w:r>
          </w:p>
        </w:tc>
      </w:tr>
      <w:tr>
        <w:trPr>
          <w:trHeight w:val="22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Jiaxing ZhenFund Tianyu Equity</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Partnership (Limited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956,354</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RMB5,000,000​</w:t>
            </w:r>
          </w:p>
        </w:tc>
        <w:tc>
          <w:tcPr>
            <w:tcW w:w="6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Toplead Ventures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827,685</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RMB5,000,000​</w:t>
            </w:r>
          </w:p>
        </w:tc>
      </w:tr>
      <w:tr>
        <w:trPr>
          <w:trHeight w:val="22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Everbright Industry Co.,</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704,930</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RMB10,000,000​</w:t>
            </w:r>
          </w:p>
        </w:tc>
        <w:tc>
          <w:tcPr>
            <w:tcW w:w="60" w:type="dxa"/>
            <w:vAlign w:val="bottom"/>
          </w:tcPr>
          <w:p>
            <w:pPr>
              <w:spacing w:after="0"/>
              <w:rPr>
                <w:sz w:val="20"/>
                <w:szCs w:val="20"/>
                <w:color w:val="auto"/>
              </w:rPr>
            </w:pPr>
          </w:p>
        </w:tc>
      </w:tr>
      <w:tr>
        <w:trPr>
          <w:trHeight w:val="22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Shenzhen Media Group (International)</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equivalent of</w:t>
            </w:r>
          </w:p>
        </w:tc>
        <w:tc>
          <w:tcPr>
            <w:tcW w:w="60" w:type="dxa"/>
            <w:vAlign w:val="bottom"/>
          </w:tcPr>
          <w:p>
            <w:pPr>
              <w:spacing w:after="0"/>
              <w:rPr>
                <w:sz w:val="19"/>
                <w:szCs w:val="19"/>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704,930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RMB10,000,000​</w:t>
            </w:r>
          </w:p>
        </w:tc>
      </w:tr>
      <w:tr>
        <w:trPr>
          <w:trHeight w:val="22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Yuyun Management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494,609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45,647,755​</w:t>
            </w:r>
          </w:p>
        </w:tc>
        <w:tc>
          <w:tcPr>
            <w:tcW w:w="60" w:type="dxa"/>
            <w:vAlign w:val="bottom"/>
          </w:tcPr>
          <w:p>
            <w:pPr>
              <w:spacing w:after="0"/>
              <w:rPr>
                <w:sz w:val="20"/>
                <w:szCs w:val="20"/>
                <w:color w:val="auto"/>
              </w:rPr>
            </w:pP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Douyu Investment Limited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171,606</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15,912,418​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-6925945</wp:posOffset>
            </wp:positionV>
            <wp:extent cx="5143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-6925945</wp:posOffset>
            </wp:positionV>
            <wp:extent cx="5143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-6925945</wp:posOffset>
            </wp:positionV>
            <wp:extent cx="514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4" w:name="page285"/>
    <w:bookmarkEnd w:id="2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8"/>
                <w:szCs w:val="18"/>
                <w:color w:val="auto"/>
              </w:rPr>
            </w:pP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5"/>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Guojin Angel Venture</w:t>
            </w:r>
          </w:p>
        </w:tc>
        <w:tc>
          <w:tcPr>
            <w:tcW w:w="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III Partnership (Limited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rPr>
              <w:t>162,028</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15,024,521​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Wuhan Rongzhu Information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Service Co., Ltd</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2,981,667</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15,024,521​</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 Thrive Limited</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6"/>
              </w:rPr>
              <w:t>87,930</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8,115,248​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Shanghai Chuyuan Enterprise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Partnership (Limited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81,017</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7,512,550​</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Jiaxing ZhenFund Tianyu Equity</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Partnership (Limited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6"/>
              </w:rPr>
              <w:t>54,956</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5,071,949​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Top Lead Ventures Limited</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47,562</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4,410,263​</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Everbright Industry Co.,</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6"/>
              </w:rPr>
              <w:t>40,508</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Shenzhen Media Group</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40,508</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0" w:type="dxa"/>
            <w:vAlign w:val="bottom"/>
          </w:tcPr>
          <w:p>
            <w:pPr>
              <w:spacing w:after="0"/>
              <w:rPr>
                <w:sz w:val="1"/>
                <w:szCs w:val="1"/>
                <w:color w:val="auto"/>
              </w:rPr>
            </w:pPr>
          </w:p>
        </w:tc>
      </w:tr>
      <w:tr>
        <w:trPr>
          <w:trHeight w:val="3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Preferred Shares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Digital WD., Ltd.</w:t>
            </w: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5, 2022 ​​</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1,625,295</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Maison Investment Holding</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 2022​​</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rPr>
              <w:t>434,604</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US$2,674,000​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AER Capital SPC</w:t>
            </w: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20, 2022​​</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rPr>
              <w:t>487,589</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US$3,000,000​</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WD., Ltd</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6"/>
              </w:rPr>
              <w:t>93,396</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Maison Investment Holding</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24,974</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 Capital SPC</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6"/>
              </w:rPr>
              <w:t>28,019</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B-1 Preferred Shares</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Digilife AS</w:t>
            </w:r>
          </w:p>
        </w:tc>
        <w:tc>
          <w:tcPr>
            <w:tcW w:w="1540" w:type="dxa"/>
            <w:vAlign w:val="bottom"/>
            <w:tcBorders>
              <w:bottom w:val="single" w:sz="8" w:color="CCEEFF"/>
            </w:tcBorders>
            <w:gridSpan w:val="3"/>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January 10, 2023</w:t>
            </w: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​12,636,248</w:t>
            </w: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US$77,747,389.62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Tolsona Ltd.</w:t>
            </w:r>
          </w:p>
        </w:tc>
        <w:tc>
          <w:tcPr>
            <w:tcW w:w="15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January 10,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​11,601,582</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US$71,381,369.07</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Nyx Ventures AS</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12,375,021</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US$76,140,127.01​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Get Right Sweden AB</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​​January 10,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rPr>
              <w:t>822,099</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US$5,058,149.99​</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Shinobi Holdings Limited</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2,906,798</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US$17,884,735.96​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Datakrigaren Ventures ApS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​​January 10,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rPr>
              <w:t>363,670</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US$2,237,561.68​</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Digilife AS</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rPr>
              <w:t>726,133</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Tolsona Ltd</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rPr>
              <w:t>666,676</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Nyx Ventures AS</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w w:val="95"/>
              </w:rPr>
              <w:t>711,121</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Get Right Sweden AB</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47,241</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Shinobi Holdings Limited</w:t>
            </w:r>
          </w:p>
        </w:tc>
        <w:tc>
          <w:tcPr>
            <w:tcW w:w="1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center"/>
              <w:ind w:right="431"/>
              <w:spacing w:after="0"/>
              <w:rPr>
                <w:sz w:val="20"/>
                <w:szCs w:val="20"/>
                <w:color w:val="auto"/>
              </w:rPr>
            </w:pPr>
            <w:r>
              <w:rPr>
                <w:rFonts w:ascii="Times New Roman" w:cs="Times New Roman" w:eastAsia="Times New Roman" w:hAnsi="Times New Roman"/>
                <w:sz w:val="18"/>
                <w:szCs w:val="18"/>
                <w:color w:val="auto"/>
              </w:rPr>
              <w:t>167,037</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Datakrigaren Ventures ApS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6"/>
              </w:rPr>
              <w:t>20,898</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Nominal​</w:t>
            </w:r>
          </w:p>
        </w:tc>
        <w:tc>
          <w:tcPr>
            <w:tcW w:w="0" w:type="dxa"/>
            <w:vAlign w:val="bottom"/>
          </w:tcPr>
          <w:p>
            <w:pPr>
              <w:spacing w:after="0"/>
              <w:rPr>
                <w:sz w:val="1"/>
                <w:szCs w:val="1"/>
                <w:color w:val="auto"/>
              </w:rPr>
            </w:pPr>
          </w:p>
        </w:tc>
      </w:tr>
      <w:tr>
        <w:trPr>
          <w:trHeight w:val="3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Certain directors and employees</w:t>
            </w:r>
          </w:p>
        </w:tc>
        <w:tc>
          <w:tcPr>
            <w:tcW w:w="15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​​July 30, 2021</w:t>
            </w:r>
          </w:p>
        </w:tc>
        <w:tc>
          <w:tcPr>
            <w:tcW w:w="1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Options to purchase ​​</w:t>
            </w:r>
          </w:p>
        </w:tc>
        <w:tc>
          <w:tcPr>
            <w:tcW w:w="1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Past and future</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2,492,440 ordinary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services provided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these individuals to us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Certain directors and employees</w:t>
            </w:r>
          </w:p>
        </w:tc>
        <w:tc>
          <w:tcPr>
            <w:tcW w:w="15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1, 2023</w:t>
            </w:r>
          </w:p>
        </w:tc>
        <w:tc>
          <w:tcPr>
            <w:tcW w:w="16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Options to purchase ​​</w:t>
            </w:r>
          </w:p>
        </w:tc>
        <w:tc>
          <w:tcPr>
            <w:tcW w:w="17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Past and future</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1,631,386 ordinary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services provided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these individuals to us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9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-7088505</wp:posOffset>
            </wp:positionV>
            <wp:extent cx="431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-7088505</wp:posOffset>
            </wp:positionV>
            <wp:extent cx="342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-7088505</wp:posOffset>
            </wp:positionV>
            <wp:extent cx="342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5" w:name="page286"/>
    <w:bookmarkEnd w:id="2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62" w:lineRule="exact"/>
        <w:rPr>
          <w:sz w:val="20"/>
          <w:szCs w:val="20"/>
          <w:color w:val="auto"/>
        </w:rPr>
      </w:pPr>
    </w:p>
    <w:p>
      <w:pPr>
        <w:ind w:left="1620" w:hanging="360"/>
        <w:spacing w:after="0"/>
        <w:tabs>
          <w:tab w:leader="none" w:pos="1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beginning on page II-6 of this registration statement.</w:t>
      </w:r>
    </w:p>
    <w:p>
      <w:pPr>
        <w:spacing w:after="0" w:line="14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328" w:lineRule="exact"/>
        <w:rPr>
          <w:sz w:val="20"/>
          <w:szCs w:val="20"/>
          <w:color w:val="auto"/>
        </w:rPr>
      </w:pPr>
    </w:p>
    <w:p>
      <w:pPr>
        <w:ind w:left="1260" w:right="779" w:firstLine="360"/>
        <w:spacing w:after="0" w:line="263"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31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(b)</w:t>
        <w:tab/>
        <w:t>Financial Statement Schedules</w:t>
      </w:r>
    </w:p>
    <w:p>
      <w:pPr>
        <w:spacing w:after="0" w:line="15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left="1800" w:right="459" w:hanging="180"/>
        <w:spacing w:after="0" w:line="259" w:lineRule="auto"/>
        <w:tabs>
          <w:tab w:leader="none" w:pos="1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800" w:right="639" w:hanging="180"/>
        <w:spacing w:after="0" w:line="257" w:lineRule="auto"/>
        <w:tabs>
          <w:tab w:leader="none" w:pos="1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w:t>
      </w:r>
    </w:p>
    <w:p>
      <w:pPr>
        <w:spacing w:after="0" w:line="1"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430A, shall be deemed to be part of and included in the registration statement as of the date it</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6" w:name="page287"/>
    <w:bookmarkEnd w:id="2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6" w:lineRule="auto"/>
        <w:rPr>
          <w:sz w:val="20"/>
          <w:szCs w:val="20"/>
          <w:color w:val="auto"/>
        </w:rPr>
      </w:pPr>
      <w:r>
        <w:rPr>
          <w:rFonts w:ascii="Times New Roman" w:cs="Times New Roman" w:eastAsia="Times New Roman" w:hAnsi="Times New Roman"/>
          <w:sz w:val="18"/>
          <w:szCs w:val="18"/>
          <w:color w:val="auto"/>
        </w:rPr>
        <w:t>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9" w:lineRule="exact"/>
        <w:rPr>
          <w:sz w:val="20"/>
          <w:szCs w:val="20"/>
          <w:color w:val="auto"/>
        </w:rPr>
      </w:pPr>
    </w:p>
    <w:p>
      <w:pPr>
        <w:ind w:left="1800" w:right="459" w:hanging="180"/>
        <w:spacing w:after="0" w:line="256" w:lineRule="auto"/>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95"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2160" w:right="499" w:hanging="180"/>
        <w:spacing w:after="0" w:line="282" w:lineRule="auto"/>
        <w:tabs>
          <w:tab w:leader="none" w:pos="21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2160" w:right="759" w:hanging="180"/>
        <w:spacing w:after="0" w:line="266" w:lineRule="auto"/>
        <w:tabs>
          <w:tab w:leader="none" w:pos="21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7" w:name="page288"/>
    <w:bookmarkEnd w:id="2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NIP Group Inc.</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2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340" w:hanging="80"/>
        <w:spacing w:after="0" w:line="181" w:lineRule="auto"/>
        <w:tabs>
          <w:tab w:leader="none" w:pos="1340" w:val="left"/>
        </w:tabs>
        <w:numPr>
          <w:ilvl w:val="0"/>
          <w:numId w:val="228"/>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b w:val="1"/>
          <w:bCs w:val="1"/>
          <w:color w:val="auto"/>
        </w:rPr>
        <w:t>Number</w:t>
      </w:r>
    </w:p>
    <w:p>
      <w:pPr>
        <w:spacing w:after="0" w:line="54" w:lineRule="exact"/>
        <w:rPr>
          <w:rFonts w:ascii="Times New Roman" w:cs="Times New Roman" w:eastAsia="Times New Roman" w:hAnsi="Times New Roman"/>
          <w:sz w:val="22"/>
          <w:szCs w:val="22"/>
          <w:b w:val="1"/>
          <w:bCs w:val="1"/>
          <w:color w:val="auto"/>
          <w:vertAlign w:val="subscript"/>
        </w:rPr>
      </w:pPr>
    </w:p>
    <w:p>
      <w:pPr>
        <w:ind w:left="1360" w:hanging="100"/>
        <w:spacing w:after="0" w:line="182" w:lineRule="auto"/>
        <w:tabs>
          <w:tab w:leader="none" w:pos="1360" w:val="left"/>
        </w:tabs>
        <w:numPr>
          <w:ilvl w:val="0"/>
          <w:numId w:val="22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1.1*</w:t>
      </w:r>
    </w:p>
    <w:p>
      <w:pPr>
        <w:spacing w:after="0" w:line="70" w:lineRule="exact"/>
        <w:rPr>
          <w:rFonts w:ascii="Times New Roman" w:cs="Times New Roman" w:eastAsia="Times New Roman" w:hAnsi="Times New Roman"/>
          <w:sz w:val="32"/>
          <w:szCs w:val="32"/>
          <w:color w:val="auto"/>
          <w:vertAlign w:val="superscript"/>
        </w:rPr>
      </w:pPr>
    </w:p>
    <w:p>
      <w:pPr>
        <w:ind w:left="1360" w:hanging="100"/>
        <w:spacing w:after="0" w:line="186" w:lineRule="auto"/>
        <w:tabs>
          <w:tab w:leader="none" w:pos="1360" w:val="left"/>
        </w:tabs>
        <w:numPr>
          <w:ilvl w:val="0"/>
          <w:numId w:val="2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3.1</w:t>
      </w:r>
    </w:p>
    <w:p>
      <w:pPr>
        <w:spacing w:after="0" w:line="186" w:lineRule="exact"/>
        <w:rPr>
          <w:rFonts w:ascii="Times New Roman" w:cs="Times New Roman" w:eastAsia="Times New Roman" w:hAnsi="Times New Roman"/>
          <w:sz w:val="24"/>
          <w:szCs w:val="24"/>
          <w:color w:val="auto"/>
          <w:vertAlign w:val="superscript"/>
        </w:rPr>
      </w:pPr>
    </w:p>
    <w:p>
      <w:pPr>
        <w:ind w:left="1360" w:hanging="100"/>
        <w:spacing w:after="0" w:line="189"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3.2*</w:t>
      </w:r>
    </w:p>
    <w:p>
      <w:pPr>
        <w:spacing w:after="0" w:line="187" w:lineRule="exact"/>
        <w:rPr>
          <w:rFonts w:ascii="Times New Roman" w:cs="Times New Roman" w:eastAsia="Times New Roman" w:hAnsi="Times New Roman"/>
          <w:sz w:val="36"/>
          <w:szCs w:val="36"/>
          <w:color w:val="auto"/>
          <w:vertAlign w:val="superscript"/>
        </w:rPr>
      </w:pPr>
    </w:p>
    <w:p>
      <w:pPr>
        <w:ind w:left="1360" w:hanging="100"/>
        <w:spacing w:after="0" w:line="197"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4.1*</w:t>
      </w:r>
    </w:p>
    <w:p>
      <w:pPr>
        <w:spacing w:after="0" w:line="82" w:lineRule="exact"/>
        <w:rPr>
          <w:rFonts w:ascii="Times New Roman" w:cs="Times New Roman" w:eastAsia="Times New Roman" w:hAnsi="Times New Roman"/>
          <w:sz w:val="36"/>
          <w:szCs w:val="36"/>
          <w:color w:val="auto"/>
          <w:vertAlign w:val="superscript"/>
        </w:rPr>
      </w:pPr>
    </w:p>
    <w:p>
      <w:pPr>
        <w:ind w:left="1360" w:hanging="100"/>
        <w:spacing w:after="0" w:line="186" w:lineRule="auto"/>
        <w:tabs>
          <w:tab w:leader="none" w:pos="1360" w:val="left"/>
        </w:tabs>
        <w:numPr>
          <w:ilvl w:val="0"/>
          <w:numId w:val="2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4.2*</w:t>
      </w:r>
    </w:p>
    <w:p>
      <w:pPr>
        <w:spacing w:after="0" w:line="69"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4.3*</w:t>
      </w:r>
    </w:p>
    <w:p>
      <w:pPr>
        <w:spacing w:after="0" w:line="186" w:lineRule="exact"/>
        <w:rPr>
          <w:rFonts w:ascii="Times New Roman" w:cs="Times New Roman" w:eastAsia="Times New Roman" w:hAnsi="Times New Roman"/>
          <w:sz w:val="24"/>
          <w:szCs w:val="24"/>
          <w:color w:val="auto"/>
          <w:vertAlign w:val="superscript"/>
        </w:rPr>
      </w:pPr>
    </w:p>
    <w:p>
      <w:pPr>
        <w:ind w:left="1360" w:hanging="100"/>
        <w:spacing w:after="0" w:line="189"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4.4†</w:t>
      </w:r>
    </w:p>
    <w:p>
      <w:pPr>
        <w:spacing w:after="0" w:line="187" w:lineRule="exact"/>
        <w:rPr>
          <w:rFonts w:ascii="Times New Roman" w:cs="Times New Roman" w:eastAsia="Times New Roman" w:hAnsi="Times New Roman"/>
          <w:sz w:val="36"/>
          <w:szCs w:val="36"/>
          <w:color w:val="auto"/>
          <w:vertAlign w:val="superscript"/>
        </w:rPr>
      </w:pPr>
    </w:p>
    <w:p>
      <w:pPr>
        <w:ind w:left="1360" w:hanging="100"/>
        <w:spacing w:after="0" w:line="189"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5.1*</w:t>
      </w:r>
    </w:p>
    <w:p>
      <w:pPr>
        <w:spacing w:after="0" w:line="187" w:lineRule="exact"/>
        <w:rPr>
          <w:rFonts w:ascii="Times New Roman" w:cs="Times New Roman" w:eastAsia="Times New Roman" w:hAnsi="Times New Roman"/>
          <w:sz w:val="36"/>
          <w:szCs w:val="36"/>
          <w:color w:val="auto"/>
          <w:vertAlign w:val="superscript"/>
        </w:rPr>
      </w:pPr>
    </w:p>
    <w:p>
      <w:pPr>
        <w:ind w:left="1360" w:hanging="100"/>
        <w:spacing w:after="0" w:line="189"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8.1*</w:t>
      </w:r>
    </w:p>
    <w:p>
      <w:pPr>
        <w:spacing w:after="0" w:line="187" w:lineRule="exact"/>
        <w:rPr>
          <w:rFonts w:ascii="Times New Roman" w:cs="Times New Roman" w:eastAsia="Times New Roman" w:hAnsi="Times New Roman"/>
          <w:sz w:val="36"/>
          <w:szCs w:val="36"/>
          <w:color w:val="auto"/>
          <w:vertAlign w:val="superscript"/>
        </w:rPr>
      </w:pPr>
    </w:p>
    <w:p>
      <w:pPr>
        <w:ind w:left="1360" w:hanging="100"/>
        <w:spacing w:after="0" w:line="197" w:lineRule="auto"/>
        <w:tabs>
          <w:tab w:leader="none" w:pos="1360" w:val="left"/>
        </w:tabs>
        <w:numPr>
          <w:ilvl w:val="0"/>
          <w:numId w:val="2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8.2</w:t>
      </w:r>
    </w:p>
    <w:p>
      <w:pPr>
        <w:spacing w:after="0" w:line="82" w:lineRule="exact"/>
        <w:rPr>
          <w:rFonts w:ascii="Times New Roman" w:cs="Times New Roman" w:eastAsia="Times New Roman" w:hAnsi="Times New Roman"/>
          <w:sz w:val="36"/>
          <w:szCs w:val="36"/>
          <w:color w:val="auto"/>
          <w:vertAlign w:val="superscript"/>
        </w:rPr>
      </w:pPr>
    </w:p>
    <w:p>
      <w:pPr>
        <w:ind w:left="1360" w:hanging="100"/>
        <w:spacing w:after="0" w:line="186" w:lineRule="auto"/>
        <w:tabs>
          <w:tab w:leader="none" w:pos="1360" w:val="left"/>
        </w:tabs>
        <w:numPr>
          <w:ilvl w:val="0"/>
          <w:numId w:val="2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-2887980</wp:posOffset>
            </wp:positionV>
            <wp:extent cx="4114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1260"/>
        <w:spacing w:after="0" w:line="218"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10.1</w:t>
      </w:r>
    </w:p>
    <w:p>
      <w:pPr>
        <w:ind w:left="1260"/>
        <w:spacing w:after="0" w:line="191" w:lineRule="auto"/>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35"/>
          <w:szCs w:val="35"/>
          <w:color w:val="auto"/>
          <w:vertAlign w:val="superscript"/>
        </w:rPr>
        <w:t>​</w:t>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10.3</w:t>
      </w:r>
    </w:p>
    <w:p>
      <w:pPr>
        <w:ind w:left="1260"/>
        <w:spacing w:after="0" w:line="184" w:lineRule="auto"/>
        <w:rPr>
          <w:sz w:val="20"/>
          <w:szCs w:val="20"/>
          <w:color w:val="auto"/>
        </w:rPr>
      </w:pPr>
      <w:r>
        <w:rPr>
          <w:rFonts w:ascii="Times New Roman" w:cs="Times New Roman" w:eastAsia="Times New Roman" w:hAnsi="Times New Roman"/>
          <w:sz w:val="29"/>
          <w:szCs w:val="29"/>
          <w:color w:val="auto"/>
          <w:vertAlign w:val="superscript"/>
        </w:rPr>
        <w:t>​</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35"/>
          <w:szCs w:val="35"/>
          <w:color w:val="auto"/>
          <w:vertAlign w:val="superscript"/>
        </w:rPr>
        <w:t>​</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23.2</w:t>
      </w:r>
    </w:p>
    <w:p>
      <w:pPr>
        <w:spacing w:after="0" w:line="111" w:lineRule="exact"/>
        <w:rPr>
          <w:sz w:val="20"/>
          <w:szCs w:val="20"/>
          <w:color w:val="auto"/>
        </w:rPr>
      </w:pPr>
    </w:p>
    <w:p>
      <w:pPr>
        <w:ind w:left="1260" w:right="160"/>
        <w:spacing w:after="0" w:line="212"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35"/>
          <w:szCs w:val="35"/>
          <w:color w:val="auto"/>
        </w:rPr>
        <w:t>​</w:t>
      </w:r>
    </w:p>
    <w:p>
      <w:pPr>
        <w:ind w:left="1260"/>
        <w:spacing w:after="0" w:line="183" w:lineRule="auto"/>
        <w:rPr>
          <w:sz w:val="20"/>
          <w:szCs w:val="20"/>
          <w:color w:val="auto"/>
        </w:rPr>
      </w:pPr>
      <w:r>
        <w:rPr>
          <w:rFonts w:ascii="Times New Roman" w:cs="Times New Roman" w:eastAsia="Times New Roman" w:hAnsi="Times New Roman"/>
          <w:sz w:val="36"/>
          <w:szCs w:val="36"/>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60" w:type="dxa"/>
            <w:vAlign w:val="bottom"/>
            <w:gridSpan w:val="5"/>
          </w:tcPr>
          <w:p>
            <w:pPr>
              <w:spacing w:after="0" w:line="247"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Seventh Amended and Restated Memorandum and Articles of Association of the Registrant, as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currently in effect</w:t>
            </w:r>
          </w:p>
        </w:tc>
        <w:tc>
          <w:tcPr>
            <w:tcW w:w="58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9"/>
        </w:trPr>
        <w:tc>
          <w:tcPr>
            <w:tcW w:w="7560" w:type="dxa"/>
            <w:vAlign w:val="bottom"/>
            <w:gridSpan w:val="5"/>
          </w:tcPr>
          <w:p>
            <w:pPr>
              <w:spacing w:after="0" w:line="299"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Form of Eighth Amended and Restated Memorandum and Articles of Association of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 effective immediately prior to the completion of this offering</w:t>
            </w:r>
          </w:p>
        </w:tc>
        <w:tc>
          <w:tcPr>
            <w:tcW w:w="60" w:type="dxa"/>
            <w:vAlign w:val="bottom"/>
          </w:tcPr>
          <w:p>
            <w:pPr>
              <w:spacing w:after="0"/>
              <w:rPr>
                <w:sz w:val="19"/>
                <w:szCs w:val="19"/>
                <w:color w:val="auto"/>
              </w:rPr>
            </w:pPr>
          </w:p>
        </w:tc>
      </w:tr>
      <w:tr>
        <w:trPr>
          <w:trHeight w:val="297"/>
        </w:trPr>
        <w:tc>
          <w:tcPr>
            <w:tcW w:w="7560" w:type="dxa"/>
            <w:vAlign w:val="bottom"/>
            <w:gridSpan w:val="5"/>
          </w:tcPr>
          <w:p>
            <w:pPr>
              <w:spacing w:after="0" w:line="297"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Registrant’s Specimen American Depositary Receipt (included in Exhibit 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7560" w:type="dxa"/>
            <w:vAlign w:val="bottom"/>
            <w:gridSpan w:val="5"/>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Registrant’s Specimen Certificate for Ordinary Shares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81" w:lineRule="auto"/>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Deposit Agreement, among the Registrant, the depositary and the holders and beneficial </w:t>
      </w:r>
      <w:r>
        <w:rPr>
          <w:rFonts w:ascii="Times New Roman" w:cs="Times New Roman" w:eastAsia="Times New Roman" w:hAnsi="Times New Roman"/>
          <w:sz w:val="31"/>
          <w:szCs w:val="31"/>
          <w:color w:val="auto"/>
          <w:vertAlign w:val="super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owners of American Depositary Shares issued thereunder</w:t>
            </w:r>
          </w:p>
        </w:tc>
        <w:tc>
          <w:tcPr>
            <w:tcW w:w="120" w:type="dxa"/>
            <w:vAlign w:val="bottom"/>
          </w:tcPr>
          <w:p>
            <w:pPr>
              <w:spacing w:after="0"/>
              <w:rPr>
                <w:sz w:val="19"/>
                <w:szCs w:val="19"/>
                <w:color w:val="auto"/>
              </w:rPr>
            </w:pPr>
          </w:p>
        </w:tc>
      </w:tr>
      <w:tr>
        <w:trPr>
          <w:trHeight w:val="248"/>
        </w:trPr>
        <w:tc>
          <w:tcPr>
            <w:tcW w:w="7500" w:type="dxa"/>
            <w:vAlign w:val="bottom"/>
            <w:gridSpan w:val="21"/>
          </w:tcPr>
          <w:p>
            <w:pPr>
              <w:spacing w:after="0" w:line="247"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Fifth Amended and Restated Shareholders Agreement between the Registrant and other parties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71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thereto dated June 30, 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9"/>
        </w:trPr>
        <w:tc>
          <w:tcPr>
            <w:tcW w:w="7500" w:type="dxa"/>
            <w:vAlign w:val="bottom"/>
            <w:gridSpan w:val="21"/>
          </w:tcPr>
          <w:p>
            <w:pPr>
              <w:spacing w:after="0" w:line="299"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Opinion of Carey Olsen Singapore LLP regarding the validity of the ordinary shares being</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registered and certain Cayman Islands tax matters</w:t>
            </w:r>
          </w:p>
        </w:tc>
        <w:tc>
          <w:tcPr>
            <w:tcW w:w="120" w:type="dxa"/>
            <w:vAlign w:val="bottom"/>
          </w:tcPr>
          <w:p>
            <w:pPr>
              <w:spacing w:after="0"/>
              <w:rPr>
                <w:sz w:val="20"/>
                <w:szCs w:val="20"/>
                <w:color w:val="auto"/>
              </w:rPr>
            </w:pPr>
          </w:p>
        </w:tc>
      </w:tr>
      <w:tr>
        <w:trPr>
          <w:trHeight w:val="279"/>
        </w:trPr>
        <w:tc>
          <w:tcPr>
            <w:tcW w:w="7500" w:type="dxa"/>
            <w:vAlign w:val="bottom"/>
            <w:gridSpan w:val="21"/>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Opinion of Carey Olsen Singapore LLP regarding certain Cayman Islands tax matters (included</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 Exhibit 5.1)</w:t>
            </w:r>
          </w:p>
        </w:tc>
        <w:tc>
          <w:tcPr>
            <w:tcW w:w="120" w:type="dxa"/>
            <w:vAlign w:val="bottom"/>
          </w:tcPr>
          <w:p>
            <w:pPr>
              <w:spacing w:after="0"/>
              <w:rPr>
                <w:sz w:val="19"/>
                <w:szCs w:val="19"/>
                <w:color w:val="auto"/>
              </w:rPr>
            </w:pPr>
          </w:p>
        </w:tc>
      </w:tr>
      <w:tr>
        <w:trPr>
          <w:trHeight w:val="275"/>
        </w:trPr>
        <w:tc>
          <w:tcPr>
            <w:tcW w:w="7500" w:type="dxa"/>
            <w:vAlign w:val="bottom"/>
            <w:gridSpan w:val="21"/>
          </w:tcPr>
          <w:p>
            <w:pPr>
              <w:spacing w:after="0" w:line="275" w:lineRule="exact"/>
              <w:rPr>
                <w:sz w:val="20"/>
                <w:szCs w:val="20"/>
                <w:color w:val="auto"/>
              </w:rPr>
            </w:pPr>
            <w:r>
              <w:rPr>
                <w:rFonts w:ascii="Times New Roman" w:cs="Times New Roman" w:eastAsia="Times New Roman" w:hAnsi="Times New Roman"/>
                <w:sz w:val="31"/>
                <w:szCs w:val="31"/>
                <w:color w:val="000000"/>
                <w:vertAlign w:val="superscript"/>
              </w:rPr>
              <w:t>​ ​</w:t>
            </w:r>
            <w:r>
              <w:rPr>
                <w:rFonts w:ascii="Times New Roman" w:cs="Times New Roman" w:eastAsia="Times New Roman" w:hAnsi="Times New Roman"/>
                <w:sz w:val="17"/>
                <w:szCs w:val="17"/>
                <w:color w:val="0000EE"/>
              </w:rPr>
              <w:t xml:space="preserve"> Opinion of CM Law Firm regarding certain PRC tax matters (included in Exhibit 99.2)</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7500" w:type="dxa"/>
            <w:vAlign w:val="bottom"/>
            <w:gridSpan w:val="21"/>
          </w:tcPr>
          <w:p>
            <w:pPr>
              <w:spacing w:after="0" w:line="276" w:lineRule="exact"/>
              <w:rPr>
                <w:sz w:val="20"/>
                <w:szCs w:val="20"/>
                <w:color w:val="auto"/>
              </w:rPr>
            </w:pPr>
            <w:r>
              <w:rPr>
                <w:rFonts w:ascii="Times New Roman" w:cs="Times New Roman" w:eastAsia="Times New Roman" w:hAnsi="Times New Roman"/>
                <w:sz w:val="32"/>
                <w:szCs w:val="32"/>
                <w:color w:val="000000"/>
                <w:vertAlign w:val="superscript"/>
              </w:rPr>
              <w:t>​ ​</w:t>
            </w:r>
            <w:r>
              <w:rPr>
                <w:rFonts w:ascii="Times New Roman" w:cs="Times New Roman" w:eastAsia="Times New Roman" w:hAnsi="Times New Roman"/>
                <w:sz w:val="17"/>
                <w:szCs w:val="17"/>
                <w:color w:val="0000EE"/>
              </w:rPr>
              <w:t xml:space="preserve"> Opinion of Baker &amp; McKenzie Advokatbyrå KB regarding certain Sweden tax matters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7500" w:type="dxa"/>
            <w:vAlign w:val="bottom"/>
            <w:gridSpan w:val="21"/>
          </w:tcPr>
          <w:p>
            <w:pPr>
              <w:spacing w:after="0" w:line="276" w:lineRule="exact"/>
              <w:rPr>
                <w:sz w:val="20"/>
                <w:szCs w:val="20"/>
                <w:color w:val="auto"/>
              </w:rPr>
            </w:pPr>
            <w:r>
              <w:rPr>
                <w:rFonts w:ascii="Times New Roman" w:cs="Times New Roman" w:eastAsia="Times New Roman" w:hAnsi="Times New Roman"/>
                <w:sz w:val="32"/>
                <w:szCs w:val="32"/>
                <w:color w:val="000000"/>
                <w:vertAlign w:val="superscript"/>
              </w:rPr>
              <w:t>​ ​</w:t>
            </w:r>
            <w:r>
              <w:rPr>
                <w:rFonts w:ascii="Times New Roman" w:cs="Times New Roman" w:eastAsia="Times New Roman" w:hAnsi="Times New Roman"/>
                <w:sz w:val="17"/>
                <w:szCs w:val="17"/>
                <w:color w:val="0000EE"/>
              </w:rPr>
              <w:t xml:space="preserve"> 2021 Share Incentive Plan</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7500" w:type="dxa"/>
            <w:vAlign w:val="bottom"/>
            <w:gridSpan w:val="21"/>
          </w:tcPr>
          <w:p>
            <w:pPr>
              <w:spacing w:after="0" w:line="264" w:lineRule="exact"/>
              <w:rPr>
                <w:sz w:val="20"/>
                <w:szCs w:val="20"/>
                <w:color w:val="auto"/>
              </w:rPr>
            </w:pPr>
            <w:r>
              <w:rPr>
                <w:rFonts w:ascii="Times New Roman" w:cs="Times New Roman" w:eastAsia="Times New Roman" w:hAnsi="Times New Roman"/>
                <w:sz w:val="30"/>
                <w:szCs w:val="30"/>
                <w:color w:val="000000"/>
                <w:vertAlign w:val="superscript"/>
              </w:rPr>
              <w:t>​ ​</w:t>
            </w:r>
            <w:r>
              <w:rPr>
                <w:rFonts w:ascii="Times New Roman" w:cs="Times New Roman" w:eastAsia="Times New Roman" w:hAnsi="Times New Roman"/>
                <w:sz w:val="16"/>
                <w:szCs w:val="16"/>
                <w:color w:val="0000EE"/>
              </w:rPr>
              <w:t xml:space="preserve"> Form of Indemnification Agreement between the Registrant and its directors and executive</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officers</w:t>
            </w:r>
          </w:p>
        </w:tc>
        <w:tc>
          <w:tcPr>
            <w:tcW w:w="6300" w:type="dxa"/>
            <w:vAlign w:val="bottom"/>
            <w:tcBorders>
              <w:top w:val="single" w:sz="8" w:color="0000EE"/>
            </w:tcBorders>
            <w:gridSpan w:val="16"/>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Form of Employment Agreement between the Registrant and its executive officers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Significant Subsidiaries of the Registrant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7500" w:type="dxa"/>
            <w:vAlign w:val="bottom"/>
            <w:gridSpan w:val="21"/>
          </w:tcPr>
          <w:p>
            <w:pPr>
              <w:spacing w:after="0" w:line="276" w:lineRule="exact"/>
              <w:rPr>
                <w:sz w:val="20"/>
                <w:szCs w:val="20"/>
                <w:color w:val="auto"/>
              </w:rPr>
            </w:pPr>
            <w:r>
              <w:rPr>
                <w:rFonts w:ascii="Times New Roman" w:cs="Times New Roman" w:eastAsia="Times New Roman" w:hAnsi="Times New Roman"/>
                <w:sz w:val="32"/>
                <w:szCs w:val="32"/>
                <w:color w:val="000000"/>
                <w:vertAlign w:val="superscript"/>
              </w:rPr>
              <w:t>​ ​</w:t>
            </w:r>
            <w:r>
              <w:rPr>
                <w:rFonts w:ascii="Times New Roman" w:cs="Times New Roman" w:eastAsia="Times New Roman" w:hAnsi="Times New Roman"/>
                <w:sz w:val="17"/>
                <w:szCs w:val="17"/>
                <w:color w:val="0000EE"/>
              </w:rPr>
              <w:t xml:space="preserve"> Consent of Marcum Asia CPAs, LLP, an independent registered public accounting firm for the</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Registrant</w:t>
            </w:r>
          </w:p>
        </w:tc>
        <w:tc>
          <w:tcPr>
            <w:tcW w:w="6340" w:type="dxa"/>
            <w:vAlign w:val="bottom"/>
            <w:tcBorders>
              <w:top w:val="single" w:sz="8" w:color="0000EE"/>
            </w:tcBorders>
            <w:gridSpan w:val="16"/>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Consent of Marcum Asia CPAs, LLP, an independent registered public accounting firm for</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Ninjas in Pyjamas Gaming AB</w:t>
            </w:r>
          </w:p>
        </w:tc>
        <w:tc>
          <w:tcPr>
            <w:tcW w:w="4500" w:type="dxa"/>
            <w:vAlign w:val="bottom"/>
            <w:tcBorders>
              <w:top w:val="single" w:sz="8" w:color="0000EE"/>
            </w:tcBorders>
            <w:gridSpan w:val="9"/>
          </w:tcPr>
          <w:p>
            <w:pPr>
              <w:spacing w:after="0"/>
              <w:rPr>
                <w:sz w:val="17"/>
                <w:szCs w:val="17"/>
                <w:color w:val="auto"/>
              </w:rPr>
            </w:pPr>
          </w:p>
        </w:tc>
        <w:tc>
          <w:tcPr>
            <w:tcW w:w="4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r>
      <w:tr>
        <w:trPr>
          <w:trHeight w:val="340"/>
        </w:trPr>
        <w:tc>
          <w:tcPr>
            <w:tcW w:w="7500" w:type="dxa"/>
            <w:vAlign w:val="bottom"/>
            <w:gridSpan w:val="21"/>
          </w:tcPr>
          <w:p>
            <w:pPr>
              <w:spacing w:after="0" w:line="339"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Consent of Carey Olsen Singapore LLP (included in Exhibit 5.1)</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7500" w:type="dxa"/>
            <w:vAlign w:val="bottom"/>
            <w:gridSpan w:val="21"/>
          </w:tcPr>
          <w:p>
            <w:pPr>
              <w:spacing w:after="0" w:line="275" w:lineRule="exact"/>
              <w:rPr>
                <w:sz w:val="20"/>
                <w:szCs w:val="20"/>
                <w:color w:val="auto"/>
              </w:rPr>
            </w:pPr>
            <w:r>
              <w:rPr>
                <w:rFonts w:ascii="Times New Roman" w:cs="Times New Roman" w:eastAsia="Times New Roman" w:hAnsi="Times New Roman"/>
                <w:sz w:val="31"/>
                <w:szCs w:val="31"/>
                <w:color w:val="000000"/>
                <w:vertAlign w:val="superscript"/>
              </w:rPr>
              <w:t>​ ​</w:t>
            </w:r>
            <w:r>
              <w:rPr>
                <w:rFonts w:ascii="Times New Roman" w:cs="Times New Roman" w:eastAsia="Times New Roman" w:hAnsi="Times New Roman"/>
                <w:sz w:val="17"/>
                <w:szCs w:val="17"/>
                <w:color w:val="0000EE"/>
              </w:rPr>
              <w:t xml:space="preserve"> Consent of CM Law Firm (included in Exhibit 99.2)</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Consent of Baker &amp; McKenzie Advokatbyrå KB (included in Exhibit 8.3)</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Powers of Attorney (included on signature page)</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Code of Business Conduct and Ethics of the Registrant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Opinion of CM Law Firm regarding certain PRC law matters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Consent of Frost &amp; Sullivan</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14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7500" w:type="dxa"/>
            <w:vAlign w:val="bottom"/>
            <w:gridSpan w:val="21"/>
          </w:tcPr>
          <w:p>
            <w:pPr>
              <w:spacing w:after="0" w:line="290" w:lineRule="exact"/>
              <w:rPr>
                <w:sz w:val="20"/>
                <w:szCs w:val="20"/>
                <w:color w:val="auto"/>
              </w:rPr>
            </w:pPr>
            <w:r>
              <w:rPr>
                <w:rFonts w:ascii="Times New Roman" w:cs="Times New Roman" w:eastAsia="Times New Roman" w:hAnsi="Times New Roman"/>
                <w:sz w:val="33"/>
                <w:szCs w:val="33"/>
                <w:color w:val="000000"/>
                <w:vertAlign w:val="superscript"/>
              </w:rPr>
              <w:t>​ ​</w:t>
            </w:r>
            <w:r>
              <w:rPr>
                <w:rFonts w:ascii="Times New Roman" w:cs="Times New Roman" w:eastAsia="Times New Roman" w:hAnsi="Times New Roman"/>
                <w:sz w:val="17"/>
                <w:szCs w:val="17"/>
                <w:color w:val="0000EE"/>
              </w:rPr>
              <w:t xml:space="preserve"> Filing Fee Table</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154305</wp:posOffset>
            </wp:positionV>
            <wp:extent cx="123444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60"/>
            <w:col w:w="7979"/>
          </w:cols>
          <w:pgMar w:left="580" w:top="97" w:right="1440" w:bottom="1440" w:gutter="0" w:footer="0" w:header="0"/>
          <w:type w:val="continuous"/>
        </w:sectPr>
      </w:pPr>
    </w:p>
    <w:p>
      <w:pPr>
        <w:spacing w:after="0" w:line="196" w:lineRule="exact"/>
        <w:rPr>
          <w:sz w:val="20"/>
          <w:szCs w:val="20"/>
          <w:color w:val="auto"/>
        </w:rPr>
      </w:pPr>
    </w:p>
    <w:p>
      <w:pPr>
        <w:ind w:left="1620" w:hanging="360"/>
        <w:spacing w:after="0"/>
        <w:tabs>
          <w:tab w:leader="none" w:pos="16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96" w:lineRule="exact"/>
        <w:rPr>
          <w:sz w:val="20"/>
          <w:szCs w:val="20"/>
          <w:color w:val="auto"/>
        </w:rPr>
      </w:pPr>
    </w:p>
    <w:p>
      <w:pPr>
        <w:ind w:left="1620" w:right="739" w:hanging="360"/>
        <w:spacing w:after="0" w:line="302" w:lineRule="auto"/>
        <w:tabs>
          <w:tab w:leader="none" w:pos="16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because they both are not material and would be competitively harmful if publicly disclosed.</w:t>
      </w: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8" w:name="page289"/>
    <w:bookmarkEnd w:id="2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Wuhan, the People’s Republic of China and Stockholm, Sweden, on June 12, 2024.</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9" w:name="page290"/>
    <w:bookmarkEnd w:id="2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Mario Yau Kwan Ho and Hicham Chahine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337" w:lineRule="exact"/>
        <w:rPr>
          <w:sz w:val="20"/>
          <w:szCs w:val="20"/>
          <w:color w:val="auto"/>
        </w:rPr>
      </w:pPr>
    </w:p>
    <w:p>
      <w:pPr>
        <w:ind w:left="1260" w:right="459" w:firstLine="36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June 12, 2024.</w:t>
      </w:r>
    </w:p>
    <w:p>
      <w:pPr>
        <w:sectPr>
          <w:pgSz w:w="11900" w:h="16838" w:orient="portrait"/>
          <w:cols w:equalWidth="0" w:num="1">
            <w:col w:w="9879"/>
          </w:cols>
          <w:pgMar w:left="580" w:top="97" w:right="1440" w:bottom="1440" w:gutter="0" w:footer="0" w:header="0"/>
        </w:sectPr>
      </w:pPr>
    </w:p>
    <w:p>
      <w:pPr>
        <w:ind w:left="1260"/>
        <w:spacing w:after="0" w:line="182" w:lineRule="auto"/>
        <w:tabs>
          <w:tab w:leader="none" w:pos="30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260604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260604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Mario Yau Kwan Ho</w:t>
      </w:r>
    </w:p>
    <w:p>
      <w:pPr>
        <w:ind w:left="1260"/>
        <w:spacing w:after="0" w:line="190" w:lineRule="auto"/>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Hicham Chahine</w:t>
      </w:r>
    </w:p>
    <w:p>
      <w:pPr>
        <w:ind w:left="1260"/>
        <w:spacing w:after="0" w:line="190" w:lineRule="auto"/>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Liwei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Liwei Sun</w:t>
      </w:r>
    </w:p>
    <w:p>
      <w:pPr>
        <w:ind w:left="1260"/>
        <w:spacing w:after="0" w:line="190" w:lineRule="auto"/>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Heng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Heng Tang</w:t>
      </w:r>
    </w:p>
    <w:p>
      <w:pPr>
        <w:ind w:left="1260"/>
        <w:spacing w:after="0" w:line="190" w:lineRule="auto"/>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Yanjun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Yanjun Xu</w:t>
      </w:r>
    </w:p>
    <w:p>
      <w:pPr>
        <w:ind w:left="1260"/>
        <w:spacing w:after="0" w:line="190" w:lineRule="auto"/>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/s/ Lei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Lei Zhang</w:t>
      </w:r>
    </w:p>
    <w:p>
      <w:pPr>
        <w:ind w:left="1260"/>
        <w:spacing w:after="0" w:line="205"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Thomas Neslein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Thomas Neslein</w:t>
      </w:r>
    </w:p>
    <w:p>
      <w:pPr>
        <w:ind w:left="1260"/>
        <w:spacing w:after="0" w:line="205"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Felix Granander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Felix Granander</w:t>
      </w:r>
    </w:p>
    <w:p>
      <w:pPr>
        <w:ind w:left="1260"/>
        <w:spacing w:after="0" w:line="205"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Andrew Reader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Andrew Reader</w:t>
      </w:r>
    </w:p>
    <w:p>
      <w:pPr>
        <w:ind w:left="1260"/>
        <w:spacing w:after="0" w:line="205"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Carter Jack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26060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Carter Jack Feldman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253365</wp:posOffset>
            </wp:positionV>
            <wp:extent cx="68319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41910</wp:posOffset>
            </wp:positionV>
            <wp:extent cx="24688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84"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Chairman and Co-Chief Executive Officer (Principal Executive Officer)</w:t>
      </w:r>
    </w:p>
    <w:p>
      <w:pPr>
        <w:spacing w:after="0" w:line="17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00" w:lineRule="exact"/>
        <w:rPr>
          <w:sz w:val="20"/>
          <w:szCs w:val="20"/>
          <w:color w:val="auto"/>
        </w:rPr>
      </w:pPr>
    </w:p>
    <w:p>
      <w:pPr>
        <w:spacing w:after="0" w:line="25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 and President</w:t>
      </w:r>
    </w:p>
    <w:p>
      <w:pPr>
        <w:spacing w:after="0" w:line="200" w:lineRule="exact"/>
        <w:rPr>
          <w:sz w:val="20"/>
          <w:szCs w:val="20"/>
          <w:color w:val="auto"/>
        </w:rPr>
      </w:pPr>
    </w:p>
    <w:p>
      <w:pPr>
        <w:spacing w:after="0" w:line="25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 and Executive Vice President</w:t>
      </w:r>
    </w:p>
    <w:p>
      <w:pPr>
        <w:spacing w:after="0" w:line="200" w:lineRule="exact"/>
        <w:rPr>
          <w:sz w:val="20"/>
          <w:szCs w:val="20"/>
          <w:color w:val="auto"/>
        </w:rPr>
      </w:pPr>
    </w:p>
    <w:p>
      <w:pPr>
        <w:spacing w:after="0" w:line="25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 and Executive Director</w:t>
      </w:r>
    </w:p>
    <w:p>
      <w:pPr>
        <w:spacing w:after="0" w:line="200" w:lineRule="exact"/>
        <w:rPr>
          <w:sz w:val="20"/>
          <w:szCs w:val="20"/>
          <w:color w:val="auto"/>
        </w:rPr>
      </w:pPr>
    </w:p>
    <w:p>
      <w:pPr>
        <w:spacing w:after="0" w:line="25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 and Senior Vice President</w:t>
      </w:r>
    </w:p>
    <w:p>
      <w:pPr>
        <w:spacing w:after="0" w:line="200" w:lineRule="exact"/>
        <w:rPr>
          <w:sz w:val="20"/>
          <w:szCs w:val="20"/>
          <w:color w:val="auto"/>
        </w:rPr>
      </w:pPr>
    </w:p>
    <w:p>
      <w:pPr>
        <w:spacing w:after="0" w:line="268"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4">
            <w:col w:w="4480" w:space="720"/>
            <w:col w:w="360" w:space="340"/>
            <w:col w:w="3200" w:space="360"/>
            <w:col w:w="419"/>
          </w:cols>
          <w:pgMar w:left="580" w:top="97" w:right="1440" w:bottom="1440" w:gutter="0" w:footer="0" w:header="0"/>
          <w:type w:val="continuous"/>
        </w:sectPr>
      </w:pPr>
    </w:p>
    <w:bookmarkStart w:id="290" w:name="page291"/>
    <w:bookmarkEnd w:id="2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15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 Hans Alesund</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52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Hans Alesund</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15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/s/ Zhiyong Li</w:t>
            </w: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52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Zhiyong Li</w:t>
            </w: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1" w:name="page292"/>
    <w:bookmarkEnd w:id="2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NIP Group Inc. has signed this registration statement or amendment thereto in New York on June 12, 2024.</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Senior Vice-President on behalf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SEVENTH AMENDED AND RESTATED MEMORANDUM AND ARTICLES OF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(ADOPTED BY SPECIAL RESOLUTION ON ____30 June 2023____)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 MEMORANDUM OF ASSOCIATION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(ADOPTED BY SPECIAL RESOLUTION ON _______30 June 2023_____________)</w:t>
      </w:r>
    </w:p>
    <w:p>
      <w:pPr>
        <w:spacing w:after="0" w:line="229"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NIP Group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Osiris International Cayman Limited, Suite #4-210, Governors Square, 23 Lime Tree Bay Avenue, PO Box 32311, Grand Cayman KY1-1209, Cayman Islands, or at such other place as the Directors may from time to time decide.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exercise all the functions of a natural person of full capacity.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US$50,000 divided into 500,000,000 shares consist of: (i) 429,552,072 Ordinary Shares of a par value of US$0.0001 each, (ii) 24,709,527 Class A Preferred Shares of a par value of US$0.0001 each; (iii) 2,693,877 Class B Preferred Shares of a par value of US$0.0001 each; and (iv) 43,044,524 Class B-1 Preferred Shares of a par value of US$0.0001 each, with power for the Company, subject to the provisions of the Companies Act and the Articles of Association of the Company, (i) to redeem or purchase any of its shares and to increase or reduce the said capital and (ii)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 provided always that, notwithstanding any provision to the contrary contained in this Memorandum of Association, the Company shall have no power to issue bearer shares, warrants, coupons or certificates.</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register by way of continuation outside of the Cayman Islands in accordance with the Companies Act and to de-register as an exempted company in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have the same meaning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(ADOPTED BY SPECIAL RESOLUTION ON _______30 June 2023______________)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PRELIMINARY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COMMENCEMENT OF BUSINESS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REGISTERED OFFICE AND OTHER OFFICES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PROVIDERS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Anti-Dilution Adjustment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RIGHTS OF PREFERRED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 OF MEMBERS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CLOSURE OF THE REGISTER OF MEMBERS AND FIXING A RECORD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CERTIFICATES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RIGHT BY PREFERRED SHAREHOLDERS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LIQUIDATION PREFERENCE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Forfeiture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 AND PURCHASE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ASSISTANCE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RIGHTS AND CLASS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RECOGNITION OF TRUSTS OR THIRD PARTY INTERESTS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 ON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Calls on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ALTERATION OF 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RESOLUTIONS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CONVENING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VOTES OF MEMBERS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 OF MEMBERS AT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REMOVAL AND RETIREMENT OF DIRECTORS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DIRECTORS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675"/>
        </w:trPr>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31.</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PROCEEDINGS OF DIRECTORS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32.</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DELEGATION OF DIRECTORS' POWERS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33.</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REMUNERATION OF DIRECTORS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34.</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SEAL</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35.</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DISTRIBUTIONS AND RESERVES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36.</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CAPITALISATION OF RESERVES AND PROFITS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37.</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OF ACCOUNT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38.</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39.</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AUDITOR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59"/>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40.</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41.</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WINDING UP</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42.</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INDEMNITY AND INSURANCE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43.</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DISCLOSURE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44.</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YEAR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45.</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BY WAY OF CONTINUATION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46.</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TRANSPARENCY REPORTING</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648"/>
        </w:trPr>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31" w:right="339" w:bottom="1440" w:gutter="0" w:footer="0" w:header="0"/>
        </w:sectPr>
      </w:pPr>
    </w:p>
    <w:bookmarkStart w:id="297" w:name="page298"/>
    <w:bookmarkEnd w:id="297"/>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Table A not to apply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to the Companies Act shall not apply to the Company and these Articles shall apply in place thereof.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1.2</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08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w:t>
            </w: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with respect to any person, any other person that, directly or indirectly, Controls, is Controlled by or is</w:t>
            </w:r>
          </w:p>
        </w:tc>
      </w:tr>
      <w:tr>
        <w:trPr>
          <w:trHeight w:val="212"/>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under common Control with that person; and "Affiliates" shall be construed accordingly, but on the basis that,</w:t>
            </w:r>
          </w:p>
        </w:tc>
      </w:tr>
      <w:tr>
        <w:trPr>
          <w:trHeight w:val="220"/>
        </w:trPr>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 in respect of the VE Founders and the VE Founder Holdcos, the expressions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w:t>
            </w:r>
          </w:p>
        </w:tc>
      </w:tr>
      <w:tr>
        <w:trPr>
          <w:trHeight w:val="212"/>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shall be taken to include any trusts or its Subsidiary Controlled by or for the benefit of such VE Founders and</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 Founder Holdcos, and (ii) in respect of any of the Members, the expressions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w:t>
            </w:r>
          </w:p>
        </w:tc>
      </w:tr>
      <w:tr>
        <w:trPr>
          <w:trHeight w:val="220"/>
        </w:trPr>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not be taken to include any Group Company. Without prejudice to the foregoing, in the case</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of a Financial Shareholder which is an investment fund, "Affiliate" shall also include (to the extent</w:t>
            </w:r>
          </w:p>
        </w:tc>
      </w:tr>
      <w:tr>
        <w:trPr>
          <w:trHeight w:val="234"/>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applicable):</w:t>
            </w:r>
          </w:p>
        </w:tc>
      </w:tr>
      <w:tr>
        <w:trPr>
          <w:trHeight w:val="441"/>
        </w:trPr>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w:t>
            </w: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any general partner of either such Financial Shareholder or any person which, directly or indirectly,</w:t>
            </w:r>
          </w:p>
        </w:tc>
      </w:tr>
      <w:tr>
        <w:trPr>
          <w:trHeight w:val="234"/>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controls, is controlled by or is under the common control of such Financial Shareholder;</w:t>
            </w:r>
          </w:p>
        </w:tc>
      </w:tr>
      <w:tr>
        <w:trPr>
          <w:trHeight w:val="373"/>
        </w:trPr>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w:t>
            </w: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any limited partner of either such Financial Shareholder or any person which, directly or indirectly,</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controls, is controlled by or is under the common control of such Financial Shareholder, in each case</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provided that such limited partner holds, directly or indirectly, more than 50 percent (50%) of the</w:t>
            </w:r>
          </w:p>
        </w:tc>
      </w:tr>
      <w:tr>
        <w:trPr>
          <w:trHeight w:val="234"/>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limited partnership interests;</w:t>
            </w:r>
          </w:p>
        </w:tc>
      </w:tr>
      <w:tr>
        <w:trPr>
          <w:trHeight w:val="373"/>
        </w:trPr>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w:t>
            </w: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fund manager managing either such Financial Shareholder or any person which, directly or</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indirectly, controls, is controlled by or is under the common control of such Financial Shareholder</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general partners and limited partners (which hold, directly or indirectly, more than 50 percent</w:t>
            </w:r>
          </w:p>
        </w:tc>
      </w:tr>
      <w:tr>
        <w:trPr>
          <w:trHeight w:val="216"/>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 of the limited partnership interests) thereof) and other funds managed by such fund manager;</w:t>
            </w:r>
          </w:p>
        </w:tc>
      </w:tr>
      <w:tr>
        <w:trPr>
          <w:trHeight w:val="234"/>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w:t>
            </w:r>
          </w:p>
        </w:tc>
      </w:tr>
      <w:tr>
        <w:trPr>
          <w:trHeight w:val="373"/>
        </w:trPr>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w:t>
            </w: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managed by any of such Financial Shareholder's Affiliates and the general partners of such</w:t>
            </w:r>
          </w:p>
        </w:tc>
      </w:tr>
      <w:tr>
        <w:trPr>
          <w:trHeight w:val="234"/>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and</w:t>
            </w:r>
          </w:p>
        </w:tc>
      </w:tr>
      <w:tr>
        <w:trPr>
          <w:trHeight w:val="675"/>
        </w:trPr>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Anti-Dilution Claim</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660" w:hanging="652"/>
        <w:spacing w:after="0" w:line="282"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controlled by or for the benefit of any such person referred to in the foregoing paragraphs of (a), (b), (c) or (d);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however, no portfolio company of any such Financial Shareholder or its Affiliates shall be deemed to be an Affiliate of such Financial Shareholder. Notwithstanding the foregoing, the term "Affiliate" with respect to any Member shall not include any Competitor or such Competitor's Affiliates.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5.7(a).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6.1.</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applicable law (whether civil, criminal and administrative), common law, statute, subordinate legislation, regulation, listing rules, decision, by-law, ministerial resolution, order, notice, decree, injunction, judgment or resolution of a Government Authority, and "Applicable Laws" shall be construed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person (if any) for the time being performing the duties of auditor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52" w:lineRule="exact"/>
        <w:rPr>
          <w:sz w:val="20"/>
          <w:szCs w:val="20"/>
          <w:color w:val="auto"/>
        </w:rPr>
      </w:pPr>
    </w:p>
    <w:p>
      <w:pPr>
        <w:ind w:left="660" w:hanging="652"/>
        <w:spacing w:after="0" w:line="282"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consent, authorization, registration, filing, lodgement, agreement, notarization, certificate, permission, licence, approval, authority or exemption from, by or with a Government Authority; or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anything which shall be fully or partly prohibited or restricted by Applicable Laws if a Government Authority intervenes or acts in any way within a specified period after lodgement, filing, registration or notification, the expiry of that period without intervention or action.</w:t>
      </w:r>
    </w:p>
    <w:p>
      <w:pPr>
        <w:spacing w:after="0" w:line="200" w:lineRule="exact"/>
        <w:rPr>
          <w:sz w:val="20"/>
          <w:szCs w:val="20"/>
          <w:color w:val="auto"/>
        </w:rPr>
      </w:pPr>
    </w:p>
    <w:p>
      <w:pPr>
        <w:spacing w:after="0" w:line="21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17145</wp:posOffset>
            </wp:positionV>
            <wp:extent cx="713232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60" w:space="720"/>
            <w:col w:w="8000"/>
          </w:cols>
          <w:pgMar w:left="980" w:top="931" w:right="3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38"/>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means the Company's board of directors as constituted from time to time.</w:t>
            </w:r>
          </w:p>
        </w:tc>
      </w:tr>
      <w:tr>
        <w:trPr>
          <w:trHeight w:val="414"/>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means</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business of the Group which shall include (a) management of professional esports teams;</w:t>
            </w:r>
          </w:p>
        </w:tc>
      </w:tr>
      <w:tr>
        <w:trPr>
          <w:trHeight w:val="216"/>
        </w:trPr>
        <w:tc>
          <w:tcPr>
            <w:tcW w:w="2740" w:type="dxa"/>
            <w:vAlign w:val="bottom"/>
          </w:tcPr>
          <w:p>
            <w:pPr>
              <w:spacing w:after="0"/>
              <w:rPr>
                <w:sz w:val="18"/>
                <w:szCs w:val="18"/>
                <w:color w:val="auto"/>
              </w:rPr>
            </w:pP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(b) participation and organization of professional esports events, tournaments and competitions; (c) developing</w:t>
            </w:r>
          </w:p>
        </w:tc>
      </w:tr>
      <w:tr>
        <w:trPr>
          <w:trHeight w:val="216"/>
        </w:trPr>
        <w:tc>
          <w:tcPr>
            <w:tcW w:w="2740" w:type="dxa"/>
            <w:vAlign w:val="bottom"/>
          </w:tcPr>
          <w:p>
            <w:pPr>
              <w:spacing w:after="0"/>
              <w:rPr>
                <w:sz w:val="18"/>
                <w:szCs w:val="18"/>
                <w:color w:val="auto"/>
              </w:rPr>
            </w:pP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gaming products and services; (d) investment holding of entities in the esports industry; (e) operation of</w:t>
            </w:r>
          </w:p>
        </w:tc>
      </w:tr>
      <w:tr>
        <w:trPr>
          <w:trHeight w:val="234"/>
        </w:trPr>
        <w:tc>
          <w:tcPr>
            <w:tcW w:w="2740" w:type="dxa"/>
            <w:vAlign w:val="bottom"/>
          </w:tcPr>
          <w:p>
            <w:pPr>
              <w:spacing w:after="0"/>
              <w:rPr>
                <w:sz w:val="20"/>
                <w:szCs w:val="20"/>
                <w:color w:val="auto"/>
              </w:rPr>
            </w:pP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esports club; (f) anchor brokerage business; (g) live broadcasting business; and (h) brand authorization.</w:t>
            </w:r>
          </w:p>
        </w:tc>
      </w:tr>
      <w:tr>
        <w:trPr>
          <w:trHeight w:val="414"/>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w:t>
            </w: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means a day, other than a Saturday, Sunday or public holiday, on which banks are normally open for</w:t>
            </w:r>
          </w:p>
        </w:tc>
      </w:tr>
      <w:tr>
        <w:trPr>
          <w:trHeight w:val="234"/>
        </w:trPr>
        <w:tc>
          <w:tcPr>
            <w:tcW w:w="2740" w:type="dxa"/>
            <w:vAlign w:val="bottom"/>
          </w:tcPr>
          <w:p>
            <w:pPr>
              <w:spacing w:after="0"/>
              <w:rPr>
                <w:sz w:val="20"/>
                <w:szCs w:val="20"/>
                <w:color w:val="auto"/>
              </w:rPr>
            </w:pP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businesses in Hong Kong, the Cayman Islands, the PRC and Sweden.</w:t>
            </w:r>
          </w:p>
        </w:tc>
      </w:tr>
      <w:tr>
        <w:trPr>
          <w:trHeight w:val="414"/>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w:t>
            </w: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means the most recent business plan of the Group approved by the Board or otherwise approved in accordance</w:t>
            </w:r>
          </w:p>
        </w:tc>
      </w:tr>
      <w:tr>
        <w:trPr>
          <w:trHeight w:val="234"/>
        </w:trPr>
        <w:tc>
          <w:tcPr>
            <w:tcW w:w="2740" w:type="dxa"/>
            <w:vAlign w:val="bottom"/>
          </w:tcPr>
          <w:p>
            <w:pPr>
              <w:spacing w:after="0"/>
              <w:rPr>
                <w:sz w:val="20"/>
                <w:szCs w:val="20"/>
                <w:color w:val="auto"/>
              </w:rPr>
            </w:pP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with the Shareholders Agreement.</w:t>
            </w:r>
          </w:p>
        </w:tc>
      </w:tr>
      <w:tr>
        <w:trPr>
          <w:trHeight w:val="432"/>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w:t>
            </w:r>
          </w:p>
        </w:tc>
        <w:tc>
          <w:tcPr>
            <w:tcW w:w="8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has the meaning set out in Article 26.5.</w:t>
            </w:r>
          </w:p>
        </w:tc>
      </w:tr>
      <w:tr>
        <w:trPr>
          <w:trHeight w:val="432"/>
        </w:trPr>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means:</w:t>
            </w:r>
          </w:p>
        </w:tc>
        <w:tc>
          <w:tcPr>
            <w:tcW w:w="7460" w:type="dxa"/>
            <w:vAlign w:val="bottom"/>
          </w:tcPr>
          <w:p>
            <w:pPr>
              <w:spacing w:after="0"/>
              <w:rPr>
                <w:sz w:val="24"/>
                <w:szCs w:val="24"/>
                <w:color w:val="auto"/>
              </w:rPr>
            </w:pPr>
          </w:p>
        </w:tc>
      </w:tr>
      <w:tr>
        <w:trPr>
          <w:trHeight w:val="441"/>
        </w:trPr>
        <w:tc>
          <w:tcPr>
            <w:tcW w:w="274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consolidation, amalgamation or merger of the Company with or into any other person or any</w:t>
            </w:r>
          </w:p>
        </w:tc>
      </w:tr>
      <w:tr>
        <w:trPr>
          <w:trHeight w:val="216"/>
        </w:trPr>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corporate reorganization, in which the Members of the Company immediately prior to such</w:t>
            </w:r>
          </w:p>
        </w:tc>
      </w:tr>
      <w:tr>
        <w:trPr>
          <w:trHeight w:val="216"/>
        </w:trPr>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consolidation, amalgamation, merger or reorganization, own less than 50% of the voting power of the</w:t>
            </w:r>
          </w:p>
        </w:tc>
      </w:tr>
      <w:tr>
        <w:trPr>
          <w:trHeight w:val="216"/>
        </w:trPr>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or the surviving entity immediately after such consolidation, merger, amalgamation or</w:t>
            </w:r>
          </w:p>
        </w:tc>
      </w:tr>
      <w:tr>
        <w:trPr>
          <w:trHeight w:val="234"/>
        </w:trPr>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w:t>
            </w:r>
          </w:p>
        </w:tc>
      </w:tr>
      <w:tr>
        <w:trPr>
          <w:trHeight w:val="414"/>
        </w:trPr>
        <w:tc>
          <w:tcPr>
            <w:tcW w:w="274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any transaction or series of related transactions to which the Company is a party in which in excess of</w:t>
            </w:r>
          </w:p>
        </w:tc>
      </w:tr>
      <w:tr>
        <w:trPr>
          <w:trHeight w:val="216"/>
        </w:trPr>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 of the Company's voting power is transferred, but excluding any transaction effected solely for</w:t>
            </w:r>
          </w:p>
        </w:tc>
      </w:tr>
      <w:tr>
        <w:trPr>
          <w:trHeight w:val="234"/>
        </w:trPr>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purposes or to change the Company's domicile;</w:t>
            </w:r>
          </w:p>
        </w:tc>
      </w:tr>
      <w:tr>
        <w:trPr>
          <w:trHeight w:val="432"/>
        </w:trPr>
        <w:tc>
          <w:tcPr>
            <w:tcW w:w="274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sale, lease or other disposition of all or substantially all of the assets of the Group; or</w:t>
            </w:r>
          </w:p>
        </w:tc>
      </w:tr>
      <w:tr>
        <w:trPr>
          <w:trHeight w:val="432"/>
        </w:trPr>
        <w:tc>
          <w:tcPr>
            <w:tcW w:w="274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exclusive license of all or substantially all of the intellectual property of the Group,</w:t>
            </w:r>
          </w:p>
        </w:tc>
      </w:tr>
      <w:tr>
        <w:trPr>
          <w:trHeight w:val="675"/>
        </w:trPr>
        <w:tc>
          <w:tcPr>
            <w:tcW w:w="2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27" w:right="339" w:bottom="1440" w:gutter="0" w:footer="0" w:header="0"/>
        </w:sectPr>
      </w:pPr>
    </w:p>
    <w:bookmarkStart w:id="300" w:name="page301"/>
    <w:bookmarkEnd w:id="3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each case other than (i) a consolidation with a wholly-owned Subsidiary of the Company; and (ii) a merger</w:t>
            </w:r>
          </w:p>
        </w:tc>
      </w:tr>
      <w:tr>
        <w:trPr>
          <w:trHeight w:val="234"/>
        </w:trPr>
        <w:tc>
          <w:tcPr>
            <w:tcW w:w="2780" w:type="dxa"/>
            <w:vAlign w:val="bottom"/>
          </w:tcPr>
          <w:p>
            <w:pPr>
              <w:spacing w:after="0"/>
              <w:rPr>
                <w:sz w:val="20"/>
                <w:szCs w:val="20"/>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effected exclusively to change the domicile of the Company.</w:t>
            </w:r>
          </w:p>
        </w:tc>
      </w:tr>
      <w:tr>
        <w:trPr>
          <w:trHeight w:val="437"/>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forth in Article 13.1(c).</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Liquidation Amount</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collectively, all holders of Class A Preferred Shares (each, a "</w:t>
            </w:r>
            <w:r>
              <w:rPr>
                <w:rFonts w:ascii="Times New Roman" w:cs="Times New Roman" w:eastAsia="Times New Roman" w:hAnsi="Times New Roman"/>
                <w:sz w:val="18"/>
                <w:szCs w:val="18"/>
                <w:b w:val="1"/>
                <w:bCs w:val="1"/>
                <w:color w:val="auto"/>
              </w:rPr>
              <w:t>Class A Preferred Shareholder</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class A preferred shares of a par value of US$0.0001 each having the rights, preference and privileges</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attaching to it as set out in these Articles and the Shareholders Agreement.</w:t>
            </w: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Redemption</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forth in Article 12.6</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forth in Article 13.1(a).</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Liquidation Amount</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collectively, all holders of Class B Preferred Shares (each, a "</w:t>
            </w:r>
            <w:r>
              <w:rPr>
                <w:rFonts w:ascii="Times New Roman" w:cs="Times New Roman" w:eastAsia="Times New Roman" w:hAnsi="Times New Roman"/>
                <w:sz w:val="18"/>
                <w:szCs w:val="18"/>
                <w:b w:val="1"/>
                <w:bCs w:val="1"/>
                <w:color w:val="auto"/>
              </w:rPr>
              <w:t>Class B Preferred Shareholder</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class B preferred shares of a par value of US$0.0001 each having the rights, preference and privileges</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attaching to it as set out in these Articles and the Shareholders Agreement.</w:t>
            </w: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Redemption</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forth in Article 12.5.</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B-1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collectively, all holders of Class B-1 Preferred Shares (each, a "</w:t>
            </w:r>
            <w:r>
              <w:rPr>
                <w:rFonts w:ascii="Times New Roman" w:cs="Times New Roman" w:eastAsia="Times New Roman" w:hAnsi="Times New Roman"/>
                <w:sz w:val="18"/>
                <w:szCs w:val="18"/>
                <w:b w:val="1"/>
                <w:bCs w:val="1"/>
                <w:color w:val="auto"/>
              </w:rPr>
              <w:t>Class B-1 Preferred Shareholder</w:t>
            </w:r>
            <w:r>
              <w:rPr>
                <w:rFonts w:ascii="Times New Roman" w:cs="Times New Roman" w:eastAsia="Times New Roman" w:hAnsi="Times New Roman"/>
                <w:sz w:val="18"/>
                <w:szCs w:val="18"/>
                <w:color w:val="auto"/>
              </w:rPr>
              <w:t>").</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460" w:type="dxa"/>
            <w:vAlign w:val="bottom"/>
          </w:tcPr>
          <w:p>
            <w:pPr>
              <w:spacing w:after="0"/>
              <w:rPr>
                <w:sz w:val="20"/>
                <w:szCs w:val="20"/>
                <w:color w:val="auto"/>
              </w:rPr>
            </w:pPr>
          </w:p>
        </w:tc>
      </w:tr>
      <w:tr>
        <w:trPr>
          <w:trHeight w:val="36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B-1 Preferred</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means class B-1 preferred shares of a par value of US$0.0001 each having the rights, preference and privileges</w:t>
            </w:r>
          </w:p>
        </w:tc>
      </w:t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attaching to it as set out in these Articles and the Shareholders Agreement.</w:t>
            </w:r>
          </w:p>
        </w:tc>
      </w:tr>
      <w:tr>
        <w:trPr>
          <w:trHeight w:val="373"/>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in relation to the period of a notice means that period excluding the day when the notice is served or deemed to</w:t>
            </w:r>
          </w:p>
        </w:tc>
      </w:tr>
      <w:tr>
        <w:trPr>
          <w:trHeight w:val="234"/>
        </w:trPr>
        <w:tc>
          <w:tcPr>
            <w:tcW w:w="2780" w:type="dxa"/>
            <w:vAlign w:val="bottom"/>
          </w:tcPr>
          <w:p>
            <w:pPr>
              <w:spacing w:after="0"/>
              <w:rPr>
                <w:sz w:val="20"/>
                <w:szCs w:val="20"/>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 served and the day for which it is given or on which it is to take effect.</w:t>
            </w:r>
          </w:p>
        </w:tc>
      </w:tr>
      <w:tr>
        <w:trPr>
          <w:trHeight w:val="675"/>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31" w:right="33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tc>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as amended or revised from time to time.</w:t>
            </w:r>
          </w:p>
        </w:tc>
      </w:tr>
      <w:tr>
        <w:trPr>
          <w:trHeight w:val="39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means the above-named company.</w:t>
            </w:r>
          </w:p>
        </w:tc>
      </w:tr>
      <w:tr>
        <w:trPr>
          <w:trHeight w:val="37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Competitors</w:t>
            </w:r>
            <w:r>
              <w:rPr>
                <w:rFonts w:ascii="Times New Roman" w:cs="Times New Roman" w:eastAsia="Times New Roman" w:hAnsi="Times New Roman"/>
                <w:sz w:val="18"/>
                <w:szCs w:val="18"/>
                <w:color w:val="auto"/>
              </w:rPr>
              <w:t>"</w:t>
            </w:r>
          </w:p>
        </w:tc>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means any such person which carries out any business activities that are in direct competition with the</w:t>
            </w:r>
          </w:p>
        </w:tc>
      </w:tr>
      <w:tr>
        <w:trPr>
          <w:trHeight w:val="234"/>
        </w:trPr>
        <w:tc>
          <w:tcPr>
            <w:tcW w:w="2240" w:type="dxa"/>
            <w:vAlign w:val="bottom"/>
          </w:tcPr>
          <w:p>
            <w:pPr>
              <w:spacing w:after="0"/>
              <w:rPr>
                <w:sz w:val="20"/>
                <w:szCs w:val="20"/>
                <w:color w:val="auto"/>
              </w:rPr>
            </w:pPr>
          </w:p>
        </w:tc>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Business in any country or jurisdiction where any Group Company carries on the Business.</w:t>
            </w:r>
          </w:p>
        </w:tc>
      </w:tr>
      <w:tr>
        <w:trPr>
          <w:trHeight w:val="39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Competitors</w:t>
            </w:r>
            <w:r>
              <w:rPr>
                <w:rFonts w:ascii="Times New Roman" w:cs="Times New Roman" w:eastAsia="Times New Roman" w:hAnsi="Times New Roman"/>
                <w:sz w:val="18"/>
                <w:szCs w:val="18"/>
                <w:color w:val="auto"/>
              </w:rPr>
              <w:t>"</w:t>
            </w:r>
          </w:p>
        </w:tc>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means any of the Wuhan Douyu Competitors, the NIP Competitors or Company Competitors.</w:t>
            </w:r>
          </w:p>
        </w:tc>
      </w:tr>
      <w:tr>
        <w:trPr>
          <w:trHeight w:val="39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means:</w:t>
            </w:r>
          </w:p>
        </w:tc>
        <w:tc>
          <w:tcPr>
            <w:tcW w:w="50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391"/>
        </w:trPr>
        <w:tc>
          <w:tcPr>
            <w:tcW w:w="22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the case of a body corporate, the ownership of or the ability to direct:</w:t>
            </w:r>
          </w:p>
        </w:tc>
      </w:tr>
      <w:tr>
        <w:trPr>
          <w:trHeight w:val="441"/>
        </w:trPr>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majority of the issued shares entitled to vote for election of directors (or analogous</w:t>
            </w:r>
          </w:p>
        </w:tc>
      </w:tr>
      <w:tr>
        <w:trPr>
          <w:trHeight w:val="234"/>
        </w:trPr>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persons); or</w:t>
            </w:r>
          </w:p>
        </w:tc>
      </w:tr>
      <w:tr>
        <w:trPr>
          <w:trHeight w:val="414"/>
        </w:trPr>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appointment or removal of directors having a majority of the voting rights exercisable at</w:t>
            </w:r>
          </w:p>
        </w:tc>
      </w:tr>
      <w:tr>
        <w:trPr>
          <w:trHeight w:val="234"/>
        </w:trPr>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meetings of the board of directors on all or substantially all matters;</w:t>
            </w:r>
          </w:p>
        </w:tc>
      </w:tr>
      <w:tr>
        <w:trPr>
          <w:trHeight w:val="441"/>
        </w:trPr>
        <w:tc>
          <w:tcPr>
            <w:tcW w:w="22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the case of any other person, the ownership of or the ability to direct a majority of the voting rights</w:t>
            </w:r>
          </w:p>
        </w:tc>
      </w:tr>
      <w:tr>
        <w:trPr>
          <w:trHeight w:val="234"/>
        </w:trPr>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that person; or</w:t>
            </w:r>
          </w:p>
        </w:tc>
      </w:tr>
      <w:tr>
        <w:trPr>
          <w:trHeight w:val="441"/>
        </w:trPr>
        <w:tc>
          <w:tcPr>
            <w:tcW w:w="22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the case of a body corporate or any other person, the direct or indirect possession of the power to</w:t>
            </w:r>
          </w:p>
        </w:tc>
      </w:tr>
      <w:tr>
        <w:trPr>
          <w:trHeight w:val="216"/>
        </w:trPr>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or cause the direction of its financial and operational management and policies (including</w:t>
            </w:r>
          </w:p>
        </w:tc>
      </w:tr>
      <w:tr>
        <w:trPr>
          <w:trHeight w:val="216"/>
        </w:trPr>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through the ownership and/or Control (directly or indirectly) of voting shares, by a management or</w:t>
            </w:r>
          </w:p>
        </w:tc>
      </w:tr>
      <w:tr>
        <w:trPr>
          <w:trHeight w:val="234"/>
        </w:trPr>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advisory agreement, by contract, by agency or otherwise),</w:t>
            </w:r>
          </w:p>
        </w:tc>
      </w:tr>
    </w:tbl>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185" w:lineRule="exact"/>
        <w:rPr>
          <w:sz w:val="20"/>
          <w:szCs w:val="20"/>
          <w:color w:val="auto"/>
        </w:rPr>
      </w:pPr>
    </w:p>
    <w:p>
      <w:pPr>
        <w:jc w:val="both"/>
        <w:ind w:left="2580" w:hanging="2591"/>
        <w:spacing w:after="0" w:line="282" w:lineRule="auto"/>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any Ordinary Shares issuable or issued upon conversion of the Preferred Shares in accordance with these Articles and the Shareholders Agreement.</w:t>
      </w:r>
    </w:p>
    <w:p>
      <w:pPr>
        <w:spacing w:after="0" w:line="121" w:lineRule="exact"/>
        <w:rPr>
          <w:sz w:val="20"/>
          <w:szCs w:val="20"/>
          <w:color w:val="auto"/>
        </w:rPr>
      </w:pPr>
    </w:p>
    <w:p>
      <w:pPr>
        <w:jc w:val="both"/>
        <w:ind w:left="2580" w:right="20" w:hanging="2591"/>
        <w:spacing w:after="0" w:line="282" w:lineRule="auto"/>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Adherence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a deed in the form attached to the Shareholders Agreement pursuant to which a transferee or allottee of Shares agrees to be bound by all the terms of the Shareholders Agreement as if it has been a signatory.</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Sale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 Completion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 Notice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"Dragged Shareholders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Ratio"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directors of the Company and shall include any alternate Director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11.5(a).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11.5(d).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11.5(d).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11.5(a).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11.5(d).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shall mean an interim dividend unless such dividend is expressly stated to be a final dividend by the Directors at any time before the date of payment of such dividend.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lawful currency of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that term in the Shareholders Agreement.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date on which the Shareholders Agreement becomes effective in accordance with the terms and conditions set out therein.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means any claim, mortgage, charge, pledge, debenture, lien, restriction, assignment, power of sale, hypothecation, security interest, title retention, trust arrangement, subordination arrangement, contractual right of set-off or any other agreement or arrangement the effect of which is the creation of security, or any other interest, equity or other right of any person (including any right to acquire, option, right of first refusal or right of pre-emption), in any form and in any jurisdiction, or any agreement, arrangement or obligation (formal or informal) to create any of the same and "</w:t>
      </w:r>
      <w:r>
        <w:rPr>
          <w:rFonts w:ascii="Times New Roman" w:cs="Times New Roman" w:eastAsia="Times New Roman" w:hAnsi="Times New Roman"/>
          <w:sz w:val="18"/>
          <w:szCs w:val="18"/>
          <w:b w:val="1"/>
          <w:bCs w:val="1"/>
          <w:color w:val="auto"/>
        </w:rPr>
        <w:t>Encumber</w:t>
      </w:r>
      <w:r>
        <w:rPr>
          <w:rFonts w:ascii="Times New Roman" w:cs="Times New Roman" w:eastAsia="Times New Roman" w:hAnsi="Times New Roman"/>
          <w:sz w:val="18"/>
          <w:szCs w:val="18"/>
          <w:color w:val="auto"/>
        </w:rPr>
        <w:t>" shall be construed accordingly.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means, in relation to a Member, a fraction, the numerator of which is the total number of Shares held by that Member at the time in question and the denominator of which is the total number of Shares in issue at that time (in each case, fully paid up but excluding any premium paid on subscription, and calculated on a fully diluted and as-converted basis), or the equivalent percentage of such fraction.</w:t>
      </w:r>
    </w:p>
    <w:p>
      <w:pPr>
        <w:spacing w:after="0" w:line="200" w:lineRule="exact"/>
        <w:rPr>
          <w:sz w:val="20"/>
          <w:szCs w:val="20"/>
          <w:color w:val="auto"/>
        </w:rPr>
      </w:pPr>
    </w:p>
    <w:p>
      <w:pPr>
        <w:spacing w:after="0" w:line="22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17145</wp:posOffset>
            </wp:positionV>
            <wp:extent cx="71323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900" w:space="680"/>
            <w:col w:w="8000"/>
          </w:cols>
          <w:pgMar w:left="980" w:top="927" w:right="339" w:bottom="1440" w:gutter="0" w:footer="0" w:header="0"/>
        </w:sectPr>
      </w:pPr>
    </w:p>
    <w:bookmarkStart w:id="303" w:name="page304"/>
    <w:bookmarkEnd w:id="303"/>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ESOP</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has the meaning given to that term in the Shareholders Agreement .</w:t>
      </w:r>
    </w:p>
    <w:p>
      <w:pPr>
        <w:spacing w:after="0" w:line="185"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the fair market value of the relevant Securities being sold, on a going concern basis between a willing</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seller and a willing buyer as determined by an Independent Valuer.</w:t>
      </w:r>
    </w:p>
    <w:p>
      <w:pPr>
        <w:spacing w:after="0" w:line="162"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Shareholders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collectively, the VE Financial Shareholders and the NIP Financial Shareholders (each, a "</w:t>
      </w: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sz w:val="20"/>
          <w:szCs w:val="20"/>
          <w:color w:val="auto"/>
        </w:rPr>
        <w:tab/>
      </w:r>
      <w:r>
        <w:rPr>
          <w:rFonts w:ascii="Times New Roman" w:cs="Times New Roman" w:eastAsia="Times New Roman" w:hAnsi="Times New Roman"/>
          <w:sz w:val="18"/>
          <w:szCs w:val="18"/>
          <w:color w:val="auto"/>
        </w:rPr>
        <w:t>means the financial year of the Company. Unless the Directors otherwise prescribe, the financial year of the</w:t>
      </w:r>
    </w:p>
    <w:p>
      <w:pPr>
        <w:spacing w:after="0" w:line="31" w:lineRule="exact"/>
        <w:rPr>
          <w:sz w:val="20"/>
          <w:szCs w:val="20"/>
          <w:color w:val="auto"/>
        </w:rPr>
      </w:pPr>
    </w:p>
    <w:p>
      <w:pPr>
        <w:ind w:left="3240"/>
        <w:spacing w:after="0" w:line="260" w:lineRule="auto"/>
        <w:rPr>
          <w:sz w:val="20"/>
          <w:szCs w:val="20"/>
          <w:color w:val="auto"/>
        </w:rPr>
      </w:pPr>
      <w:r>
        <w:rPr>
          <w:rFonts w:ascii="Times New Roman" w:cs="Times New Roman" w:eastAsia="Times New Roman" w:hAnsi="Times New Roman"/>
          <w:sz w:val="18"/>
          <w:szCs w:val="18"/>
          <w:color w:val="auto"/>
        </w:rPr>
        <w:t>Company shall end on 31 December in each year and, following the year of incorporation, shall begin on 1 January in each year.</w:t>
      </w:r>
    </w:p>
    <w:p>
      <w:pPr>
        <w:sectPr>
          <w:pgSz w:w="11900" w:h="16838" w:orient="portrait"/>
          <w:cols w:equalWidth="0" w:num="1">
            <w:col w:w="11240"/>
          </w:cols>
          <w:pgMar w:left="320" w:top="927" w:right="339" w:bottom="1440" w:gutter="0" w:footer="0" w:header="0"/>
        </w:sectPr>
      </w:pP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Holdcos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Parties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 Authority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collectively, the VE Founder Holdcos and the NIP Founder Holdcos (each, a "</w:t>
      </w:r>
      <w:r>
        <w:rPr>
          <w:rFonts w:ascii="Times New Roman" w:cs="Times New Roman" w:eastAsia="Times New Roman" w:hAnsi="Times New Roman"/>
          <w:sz w:val="18"/>
          <w:szCs w:val="18"/>
          <w:b w:val="1"/>
          <w:bCs w:val="1"/>
          <w:color w:val="auto"/>
        </w:rPr>
        <w:t>Founder Holdco</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collectively, the Founders and the Founder Holdcos (each, a "</w:t>
      </w:r>
      <w:r>
        <w:rPr>
          <w:rFonts w:ascii="Times New Roman" w:cs="Times New Roman" w:eastAsia="Times New Roman" w:hAnsi="Times New Roman"/>
          <w:sz w:val="18"/>
          <w:szCs w:val="18"/>
          <w:b w:val="1"/>
          <w:bCs w:val="1"/>
          <w:color w:val="auto"/>
        </w:rPr>
        <w:t>Founder Party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collectively, the VE Founders and the NIP Founders (each, a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means (a) any federal, state or local government, (b) any governmental, regulatory or administrative agency, commission, body or other authority exercising or entitled to exercise any administrative, executive, judicial, legislative, police, regulatory or custodial authority or power, (c) any stock exchange, and (d) any court or governmental tribunal.</w:t>
      </w:r>
    </w:p>
    <w:p>
      <w:pPr>
        <w:spacing w:after="0" w:line="135" w:lineRule="exact"/>
        <w:rPr>
          <w:sz w:val="20"/>
          <w:szCs w:val="20"/>
          <w:color w:val="auto"/>
        </w:rPr>
      </w:pPr>
    </w:p>
    <w:p>
      <w:pPr>
        <w:sectPr>
          <w:pgSz w:w="11900" w:h="16838" w:orient="portrait"/>
          <w:cols w:equalWidth="0" w:num="2">
            <w:col w:w="2580" w:space="660"/>
            <w:col w:w="800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tc>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Company and its Subsidiaries from time to time and the expression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w:t>
            </w:r>
          </w:p>
        </w:tc>
      </w:tr>
      <w:tr>
        <w:trPr>
          <w:trHeight w:val="238"/>
        </w:trPr>
        <w:tc>
          <w:tcPr>
            <w:tcW w:w="2680" w:type="dxa"/>
            <w:vAlign w:val="bottom"/>
          </w:tcPr>
          <w:p>
            <w:pPr>
              <w:spacing w:after="0"/>
              <w:rPr>
                <w:sz w:val="20"/>
                <w:szCs w:val="20"/>
                <w:color w:val="auto"/>
              </w:rPr>
            </w:pPr>
          </w:p>
        </w:tc>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shall be construed accordingly.</w:t>
            </w:r>
          </w:p>
        </w:tc>
      </w:tr>
      <w:tr>
        <w:trPr>
          <w:trHeight w:val="392"/>
        </w:trPr>
        <w:tc>
          <w:tcPr>
            <w:tcW w:w="2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Hicham Chahine</w:t>
            </w:r>
            <w:r>
              <w:rPr>
                <w:rFonts w:ascii="Times New Roman" w:cs="Times New Roman" w:eastAsia="Times New Roman" w:hAnsi="Times New Roman"/>
                <w:sz w:val="18"/>
                <w:szCs w:val="18"/>
                <w:color w:val="auto"/>
              </w:rPr>
              <w:t>"</w:t>
            </w:r>
          </w:p>
        </w:tc>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the person referred to in Part B-1 of Schedule 1 of the Shareholders Agreement.</w:t>
            </w:r>
          </w:p>
        </w:tc>
      </w:tr>
      <w:tr>
        <w:trPr>
          <w:trHeight w:val="675"/>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27" w:right="339" w:bottom="1440" w:gutter="0" w:footer="0" w:header="0"/>
          <w:type w:val="continuous"/>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Valuer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Hong Kong Special Administrative Region of the People's Republic of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International Financial Reporting Standards.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 independent certified public accounting firm of internationally recognized standing (acting as expert and not as an arbitrator) appointed by such Member(s) holding not less than two-thirds (2/3) of the total 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24.1.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33.1.</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means the date on which each VE Financial Shareholder invests into the VIE Company as set out in the Shareholders Agreement.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means the initial subscription price of the Shares paid by each Member as of the Effective Date as set out in the Shareholders Agreement.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means, in respect of any person (a) the person is unable to, or states that it is unable to, pay its debts as they fall due or stops or threatens to stop paying its debts as they fall due; (b) any indebtedness of the person is subject to a moratorium; (c) a liquidator, provisional liquidator, receiver or administrator has been appointed to any property of the person or an event occurs which gives any other person a right to seek such an appointment; (d) an order has been made, a resolution has been passed or proposed in a notice of meeting or in an announcement to any recognised securities exchange, or an application to court has been made for the winding-up or dissolution of the person or for the entry into of any arrangement, compromise or composition with, or assignment for the benefit of, creditors of the person or any class of them; (e) a trustee has been appointed to take control of the property of the person in connection with a proposal to enter into a personal insolvency agreement; (f) an order has been made or an application to court has been made for bankruptcy of the person or an event occurs which gives any other person a right to seek such an order or make such an application; (g) a security interest becomes enforceable or is enforced over, or a writ of execution, garnishee order, blocking or freezing (in whole or in part) injunction or similar order has been issued over or is affecting, all or a substantial part of the assets of the person; or (h) the person has otherwise become, or is otherwise taken to be, insolvent in any jurisdiction or an event occurs in any jurisdiction in relation to the person which is analogous to, or which has a substantially similar effect to, any of the events referred to in paragraphs (a) to (g) above.</w:t>
      </w:r>
    </w:p>
    <w:p>
      <w:pPr>
        <w:spacing w:after="0" w:line="200" w:lineRule="exact"/>
        <w:rPr>
          <w:sz w:val="20"/>
          <w:szCs w:val="20"/>
          <w:color w:val="auto"/>
        </w:rPr>
      </w:pPr>
    </w:p>
    <w:p>
      <w:pPr>
        <w:spacing w:after="0" w:line="2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17145</wp:posOffset>
            </wp:positionV>
            <wp:extent cx="7132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60" w:space="720"/>
            <w:col w:w="8000"/>
          </w:cols>
          <w:pgMar w:left="980" w:top="927" w:right="339" w:bottom="1440" w:gutter="0" w:footer="0" w:header="0"/>
        </w:sectPr>
      </w:pPr>
    </w:p>
    <w:bookmarkStart w:id="305" w:name="page306"/>
    <w:bookmarkEnd w:id="305"/>
    <w:p>
      <w:pPr>
        <w:spacing w:after="0"/>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(a) a bona fide initial public offering or direct listing of the Company's Shares or any shares 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issued by any direct or indirect parent of the Company; or (b) the merger or acquisition of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business of the Group with or by a publicly listed special purpose acquisition company (SPAC) such that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business of the Group is owned by a company with listed securities, or reverse takeover or backdoor listing.</w:t>
      </w:r>
    </w:p>
    <w:p>
      <w:pPr>
        <w:spacing w:after="0" w:line="16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Effective Time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the time at which the Board (or the board of directors of any direct or indirect parent of the Company</w:t>
      </w:r>
    </w:p>
    <w:p>
      <w:pPr>
        <w:spacing w:after="0" w:line="31" w:lineRule="exact"/>
        <w:rPr>
          <w:sz w:val="20"/>
          <w:szCs w:val="20"/>
          <w:color w:val="auto"/>
        </w:rPr>
      </w:pPr>
    </w:p>
    <w:p>
      <w:pPr>
        <w:ind w:left="2580" w:right="20"/>
        <w:spacing w:after="0" w:line="260" w:lineRule="auto"/>
        <w:rPr>
          <w:sz w:val="20"/>
          <w:szCs w:val="20"/>
          <w:color w:val="auto"/>
        </w:rPr>
      </w:pPr>
      <w:r>
        <w:rPr>
          <w:rFonts w:ascii="Times New Roman" w:cs="Times New Roman" w:eastAsia="Times New Roman" w:hAnsi="Times New Roman"/>
          <w:sz w:val="18"/>
          <w:szCs w:val="18"/>
          <w:color w:val="auto"/>
        </w:rPr>
        <w:t>which is the subject of the IPO) resolves to issue or transfer Securities pursuant to a Qualified IPO, or such other time and date determined by the board of such entity.</w:t>
      </w:r>
    </w:p>
    <w:p>
      <w:pPr>
        <w:sectPr>
          <w:pgSz w:w="11900" w:h="16838" w:orient="portrait"/>
          <w:cols w:equalWidth="0" w:num="1">
            <w:col w:w="10580"/>
          </w:cols>
          <w:pgMar w:left="980" w:top="927" w:right="339" w:bottom="144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Notice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Liquidation Funds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5.6(b).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13.1.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13.1(c).</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includes, in respect of or relating to any matter, event or circumstance, all demands, claims (including compensation claims), actions, proceedings, awards, judgments, settlements, damages, payments, interest, fines, penalties, losses, costs (including legal costs, professional advisers', experts' and consultants' fees and costs of investigation, defence, appeal, enforcement and remediation), expenses (including Tax), disbursements or other liabilities in any case of any nature whatsoever, but shall exclude any indirect, contingent, prospective, special, incidental or consequential loss such as but not limited to loss of profit, goodwill, reputation or loss of opportunity.</w:t>
      </w:r>
    </w:p>
    <w:p>
      <w:pPr>
        <w:spacing w:after="0" w:line="200"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238"/>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Unit Price</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out in Article 6.2.</w:t>
            </w:r>
          </w:p>
        </w:tc>
      </w:tr>
      <w:tr>
        <w:trPr>
          <w:trHeight w:val="391"/>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Mario Ho</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the person referred to under Part A-1 of Schedule 1 of the Shareholders Agreement.</w:t>
            </w:r>
          </w:p>
        </w:tc>
      </w:tr>
      <w:tr>
        <w:trPr>
          <w:trHeight w:val="392"/>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given to that term in the Shareholders Agreement.</w:t>
            </w:r>
          </w:p>
        </w:tc>
      </w:tr>
      <w:tr>
        <w:trPr>
          <w:trHeight w:val="373"/>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MCN Shareholders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Danny Yu Holdings Limited, a company incorporated and existing under the laws of the British Virgin</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Islands (Registered ID: 2070114), with its registered office at Start Chambers, Wickham’s Cay II, P. O. Box</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2221, Road Town, Tortola, British Virgin Islands, and Oscar Gu Holdings Limited, a company incorporated</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existing under the laws of the British Virgin Islands (Registered ID: 2070112), with its registered office at</w:t>
            </w:r>
          </w:p>
        </w:tc>
      </w:tr>
      <w:tr>
        <w:trPr>
          <w:trHeight w:val="234"/>
        </w:trPr>
        <w:tc>
          <w:tcPr>
            <w:tcW w:w="2780" w:type="dxa"/>
            <w:vAlign w:val="bottom"/>
          </w:tcPr>
          <w:p>
            <w:pPr>
              <w:spacing w:after="0"/>
              <w:rPr>
                <w:sz w:val="20"/>
                <w:szCs w:val="20"/>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Start Chambers, Wickham’s Cay II, P. O. Box 2221, Road Town, Tortola, British Virgin Islands.</w:t>
            </w:r>
          </w:p>
        </w:tc>
      </w:tr>
      <w:tr>
        <w:trPr>
          <w:trHeight w:val="373"/>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Actions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with respect to a specified result, all actions (to the extent such actions are permitted by Applicable</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Laws) reasonably necessary or desirable to cause such result, including: (a) voting or providing a written</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or proxy with respect to shares; (b) causing the adoption of shareholders' resolutions and amendments</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organisational  documents;  (c)  executing  agreements  and  instruments,  and  (d)  using  commercially</w:t>
            </w:r>
          </w:p>
        </w:tc>
      </w:tr>
      <w:tr>
        <w:trPr>
          <w:trHeight w:val="234"/>
        </w:trPr>
        <w:tc>
          <w:tcPr>
            <w:tcW w:w="2780" w:type="dxa"/>
            <w:vAlign w:val="bottom"/>
          </w:tcPr>
          <w:p>
            <w:pPr>
              <w:spacing w:after="0"/>
              <w:rPr>
                <w:sz w:val="20"/>
                <w:szCs w:val="20"/>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reasonable efforts to obtain all consents, or similar actions that are required to achieve such result.</w:t>
            </w:r>
          </w:p>
        </w:tc>
      </w:tr>
      <w:tr>
        <w:trPr>
          <w:trHeight w:val="392"/>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out in Article 5.6(a).</w:t>
            </w:r>
          </w:p>
        </w:tc>
      </w:tr>
      <w:tr>
        <w:trPr>
          <w:trHeight w:val="373"/>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Competitors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means any such persons the principal business of which involves components or activities which compete with</w:t>
            </w:r>
          </w:p>
        </w:tc>
      </w:tr>
      <w:tr>
        <w:trPr>
          <w:trHeight w:val="216"/>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business of any of the NIP Group Companies in any country or jurisdiction where any NIP Group</w:t>
            </w:r>
          </w:p>
        </w:tc>
      </w:tr>
      <w:tr>
        <w:trPr>
          <w:trHeight w:val="234"/>
        </w:trPr>
        <w:tc>
          <w:tcPr>
            <w:tcW w:w="2780" w:type="dxa"/>
            <w:vAlign w:val="bottom"/>
          </w:tcPr>
          <w:p>
            <w:pPr>
              <w:spacing w:after="0"/>
              <w:rPr>
                <w:sz w:val="20"/>
                <w:szCs w:val="20"/>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 carries on its business.</w:t>
            </w:r>
          </w:p>
        </w:tc>
      </w:tr>
      <w:tr>
        <w:trPr>
          <w:trHeight w:val="392"/>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De-Merger</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means either the NIP Share Distribution or the NIP Share Transfer.</w:t>
            </w:r>
          </w:p>
        </w:tc>
      </w:tr>
      <w:tr>
        <w:trPr>
          <w:trHeight w:val="391"/>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Directors</w:t>
            </w:r>
            <w:r>
              <w:rPr>
                <w:rFonts w:ascii="Times New Roman" w:cs="Times New Roman" w:eastAsia="Times New Roman" w:hAnsi="Times New Roman"/>
                <w:sz w:val="18"/>
                <w:szCs w:val="18"/>
                <w:color w:val="auto"/>
              </w:rPr>
              <w:t>"</w:t>
            </w: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the meaning set out in Article 24.3(b).</w:t>
            </w:r>
          </w:p>
        </w:tc>
      </w:tr>
      <w:tr>
        <w:trPr>
          <w:trHeight w:val="675"/>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27" w:right="339"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Dividend</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12.12.</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Financial</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given to that term in the Shareholders Agreement.</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Hicham Chahine, a Norwegian national with his passport number of 32136608 and Jonas Gundersen, a Danish</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national with his passport number of 207300517.</w:t>
            </w: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 Holdcos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Diglife AS, a company incorporated in Norway with limited liability (registered number 995 287 536)</w:t>
            </w:r>
          </w:p>
        </w:tc>
      </w:tr>
      <w:tr>
        <w:trPr>
          <w:trHeight w:val="216"/>
        </w:trPr>
        <w:tc>
          <w:tcPr>
            <w:tcW w:w="294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whose registered office is at Tors gate 2B, 0260 Oslo, Norway, and Datakrigaren Ventures ApS, a company</w:t>
            </w:r>
          </w:p>
        </w:tc>
      </w:tr>
      <w:tr>
        <w:trPr>
          <w:trHeight w:val="216"/>
        </w:trPr>
        <w:tc>
          <w:tcPr>
            <w:tcW w:w="294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in Denmark with limited liability (registered number 41765496) whose registered office is at</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Skovhuskrogen 8, 3500 Værløse, Denmark.</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 Parties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collectively, the NIP Founders and the NIP Founder Holdcos.</w:t>
            </w: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Group Companies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Ninjas in Pyjamas Gaming AB, a Swedish limited liability company having the registered number</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556959-9532.</w:t>
            </w: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Date</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12.9.</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such portion of the Company's distributable profits which is equivalent to the total amount of declared</w:t>
            </w:r>
          </w:p>
        </w:tc>
      </w:tr>
      <w:tr>
        <w:trPr>
          <w:trHeight w:val="220"/>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but unpaid dividend (whether interim or final) that the NIP Redemption Shareholders would have been entitled</w:t>
            </w:r>
          </w:p>
        </w:tc>
      </w:tr>
      <w:tr>
        <w:trPr>
          <w:trHeight w:val="216"/>
        </w:trPr>
        <w:tc>
          <w:tcPr>
            <w:tcW w:w="294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receive based on its Equity Ratio in the event of a distribution pursuant to Article 30 as at the date of</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occurrence of a NIP Redemption Trigger Event.</w:t>
            </w: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Price</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12.8.</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Trigger</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events or circumstances as set out in Part B of Schedule 2 to these Articles.</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 Distribution</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12.8.</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 Transfer</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12.10.</w:t>
            </w:r>
          </w:p>
        </w:tc>
      </w:tr>
      <w:tr>
        <w:trPr>
          <w:trHeight w:val="675"/>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27" w:right="339" w:bottom="1440" w:gutter="0" w:footer="0" w:header="0"/>
        </w:sectPr>
      </w:pPr>
    </w:p>
    <w:bookmarkStart w:id="308" w:name="page309"/>
    <w:bookmarkEnd w:id="3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Shareholders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means collectively, the NIP Financial Shareholders and together with the NIP Founder Holdcos (each, an "</w:t>
            </w:r>
            <w:r>
              <w:rPr>
                <w:rFonts w:ascii="Times New Roman" w:cs="Times New Roman" w:eastAsia="Times New Roman" w:hAnsi="Times New Roman"/>
                <w:sz w:val="18"/>
                <w:szCs w:val="18"/>
                <w:b w:val="1"/>
                <w:bCs w:val="1"/>
                <w:color w:val="auto"/>
                <w:w w:val="99"/>
              </w:rPr>
              <w:t>NIP</w:t>
            </w:r>
          </w:p>
        </w:tc>
      </w:tr>
      <w:tr>
        <w:trPr>
          <w:trHeight w:val="238"/>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Shares held by all NIP Shareholders in aggregate at any given time (each, an "</w:t>
            </w:r>
            <w:r>
              <w:rPr>
                <w:rFonts w:ascii="Times New Roman" w:cs="Times New Roman" w:eastAsia="Times New Roman" w:hAnsi="Times New Roman"/>
                <w:sz w:val="18"/>
                <w:szCs w:val="18"/>
                <w:b w:val="1"/>
                <w:bCs w:val="1"/>
                <w:color w:val="auto"/>
              </w:rPr>
              <w:t>NIP Share</w:t>
            </w:r>
            <w:r>
              <w:rPr>
                <w:rFonts w:ascii="Times New Roman" w:cs="Times New Roman" w:eastAsia="Times New Roman" w:hAnsi="Times New Roman"/>
                <w:sz w:val="18"/>
                <w:szCs w:val="18"/>
                <w:color w:val="auto"/>
              </w:rPr>
              <w:t>").</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Special Redemption</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events or circumstances as set out in Part C of Schedule 2 to these Articles.</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Trigger Events</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Board</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such matters set out in Part A-2 of Schedule 1.</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where proxies are allowed, by proxy at a general meeting, and includes a unanimous written resolution.</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Shareholder</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shall mean a holder of any number of Ordinary Shares.</w:t>
            </w: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ordinary shares of a par value of US$0.0001 each having the rights, preference and privileges attaching</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it as set out in these Articles and the Shareholders Agreement.</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Oversubscription</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5.6(d).</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8300" w:type="dxa"/>
            <w:vAlign w:val="bottom"/>
          </w:tcPr>
          <w:p>
            <w:pPr>
              <w:spacing w:after="0"/>
              <w:rPr>
                <w:sz w:val="20"/>
                <w:szCs w:val="20"/>
                <w:color w:val="auto"/>
              </w:rPr>
            </w:pP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given to that term in the Shareholders Agreement.</w:t>
            </w: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People's Republic of China but excluding, for the purposes of these Articles, Hong Kong, Macau</w:t>
            </w:r>
          </w:p>
        </w:tc>
      </w:tr>
      <w:tr>
        <w:trPr>
          <w:trHeight w:val="234"/>
        </w:trPr>
        <w:tc>
          <w:tcPr>
            <w:tcW w:w="2940" w:type="dxa"/>
            <w:vAlign w:val="bottom"/>
          </w:tcPr>
          <w:p>
            <w:pPr>
              <w:spacing w:after="0"/>
              <w:rPr>
                <w:sz w:val="20"/>
                <w:szCs w:val="20"/>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Taiwan.</w:t>
            </w: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GAAP</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generally accepted accounting principles in the PRC, applied on a consistent basis.</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Liquidation</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13.1(c).</w:t>
            </w:r>
          </w:p>
        </w:tc>
      </w:tr>
      <w:tr>
        <w:trPr>
          <w:trHeight w:val="238"/>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w:t>
            </w:r>
          </w:p>
        </w:tc>
        <w:tc>
          <w:tcPr>
            <w:tcW w:w="8300" w:type="dxa"/>
            <w:vAlign w:val="bottom"/>
          </w:tcPr>
          <w:p>
            <w:pPr>
              <w:spacing w:after="0"/>
              <w:rPr>
                <w:sz w:val="20"/>
                <w:szCs w:val="20"/>
                <w:color w:val="auto"/>
              </w:rPr>
            </w:pP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Shareholders</w:t>
            </w:r>
            <w:r>
              <w:rPr>
                <w:rFonts w:ascii="Times New Roman" w:cs="Times New Roman" w:eastAsia="Times New Roman" w:hAnsi="Times New Roman"/>
                <w:sz w:val="18"/>
                <w:szCs w:val="18"/>
                <w:color w:val="auto"/>
              </w:rPr>
              <w:t>"</w:t>
            </w:r>
          </w:p>
        </w:tc>
        <w:tc>
          <w:tcPr>
            <w:tcW w:w="8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collectively, all holders of Preferred Shares (each, a "</w:t>
            </w:r>
            <w:r>
              <w:rPr>
                <w:rFonts w:ascii="Times New Roman" w:cs="Times New Roman" w:eastAsia="Times New Roman" w:hAnsi="Times New Roman"/>
                <w:sz w:val="18"/>
                <w:szCs w:val="18"/>
                <w:b w:val="1"/>
                <w:bCs w:val="1"/>
                <w:color w:val="auto"/>
              </w:rPr>
              <w:t>Preferred Shareholder</w:t>
            </w:r>
            <w:r>
              <w:rPr>
                <w:rFonts w:ascii="Times New Roman" w:cs="Times New Roman" w:eastAsia="Times New Roman" w:hAnsi="Times New Roman"/>
                <w:sz w:val="18"/>
                <w:szCs w:val="18"/>
                <w:color w:val="auto"/>
              </w:rPr>
              <w:t>").</w:t>
            </w:r>
          </w:p>
        </w:tc>
      </w:tr>
      <w:tr>
        <w:trPr>
          <w:trHeight w:val="675"/>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27" w:right="339"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collectively, the Class A Preferred Shares, the Class B Preferred Shares and the Class B-1 Preferred</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w:t>
            </w:r>
          </w:p>
        </w:tc>
      </w:tr>
      <w:tr>
        <w:trPr>
          <w:trHeight w:val="392"/>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Pro-Rata Share</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5.6(b).</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a Transfer of any Securities by a VE Founder Holdco (including its successors and Permitted</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Transferees) to a Qualified Third Party which does not amount to a Drag-Along Sale.</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Exchange</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(i) the New York Stock Exchange, the NASDAQ Stock Market's Global Market System or the Hong</w:t>
            </w:r>
          </w:p>
        </w:tc>
      </w:tr>
      <w:tr>
        <w:trPr>
          <w:trHeight w:val="216"/>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Kong Stock Exchange or (ii) any other exchange of recognized international reputation and standing duly</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approved by the Members as Reserved Matter in accordance with the Requisite Approval.</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IPO</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an IPO on a Qualified Exchange on or before 31 January 2025. For the avoidance of doubt, only with</w:t>
            </w:r>
          </w:p>
        </w:tc>
      </w:tr>
      <w:tr>
        <w:trPr>
          <w:trHeight w:val="216"/>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 to the NIP Redemption Trigger Events, Qualified IPO shall mean an IPO on a Qualified Exchange</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based on a pre-money valuation of the Company exceeding US$100,000,000.</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Third Party</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 a bona fide independent third party, who is not: (i) a Sanctioned Person and has not violated nor is in</w:t>
            </w:r>
          </w:p>
        </w:tc>
      </w:tr>
      <w:tr>
        <w:trPr>
          <w:trHeight w:val="212"/>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violation of any Anti-Money Laundering Laws; (ii) a Permitted Transferee; or (iii) a Competitor (unless</w:t>
            </w:r>
          </w:p>
        </w:tc>
      </w:tr>
      <w:tr>
        <w:trPr>
          <w:trHeight w:val="238"/>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otherwise approved pursuant to Article 11.4) and "</w:t>
            </w:r>
            <w:r>
              <w:rPr>
                <w:rFonts w:ascii="Times New Roman" w:cs="Times New Roman" w:eastAsia="Times New Roman" w:hAnsi="Times New Roman"/>
                <w:sz w:val="18"/>
                <w:szCs w:val="18"/>
                <w:b w:val="1"/>
                <w:bCs w:val="1"/>
                <w:color w:val="auto"/>
              </w:rPr>
              <w:t>Qualified Third Parties</w:t>
            </w:r>
            <w:r>
              <w:rPr>
                <w:rFonts w:ascii="Times New Roman" w:cs="Times New Roman" w:eastAsia="Times New Roman" w:hAnsi="Times New Roman"/>
                <w:sz w:val="18"/>
                <w:szCs w:val="18"/>
                <w:color w:val="auto"/>
              </w:rPr>
              <w:t>" shall be construed accordingly.</w:t>
            </w:r>
          </w:p>
        </w:tc>
      </w:tr>
      <w:tr>
        <w:trPr>
          <w:trHeight w:val="392"/>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12.3.</w:t>
            </w: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12.2.</w:t>
            </w:r>
          </w:p>
        </w:tc>
      </w:tr>
      <w:tr>
        <w:trPr>
          <w:trHeight w:val="238"/>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w:t>
            </w:r>
          </w:p>
        </w:tc>
        <w:tc>
          <w:tcPr>
            <w:tcW w:w="8360" w:type="dxa"/>
            <w:vAlign w:val="bottom"/>
          </w:tcPr>
          <w:p>
            <w:pPr>
              <w:spacing w:after="0"/>
              <w:rPr>
                <w:sz w:val="20"/>
                <w:szCs w:val="20"/>
                <w:color w:val="auto"/>
              </w:rPr>
            </w:pPr>
          </w:p>
        </w:tc>
      </w:tr>
      <w:tr>
        <w:trPr>
          <w:trHeight w:val="391"/>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12.2.</w:t>
            </w: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12.1.</w:t>
            </w:r>
          </w:p>
        </w:tc>
      </w:tr>
      <w:tr>
        <w:trPr>
          <w:trHeight w:val="238"/>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8360" w:type="dxa"/>
            <w:vAlign w:val="bottom"/>
          </w:tcPr>
          <w:p>
            <w:pPr>
              <w:spacing w:after="0"/>
              <w:rPr>
                <w:sz w:val="20"/>
                <w:szCs w:val="20"/>
                <w:color w:val="auto"/>
              </w:rPr>
            </w:pPr>
          </w:p>
        </w:tc>
      </w:tr>
      <w:tr>
        <w:trPr>
          <w:trHeight w:val="391"/>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Article 12.1.</w:t>
            </w:r>
          </w:p>
        </w:tc>
      </w:tr>
      <w:tr>
        <w:trPr>
          <w:trHeight w:val="675"/>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27" w:right="339" w:bottom="1440" w:gutter="0" w:footer="0" w:header="0"/>
        </w:sectPr>
      </w:pPr>
    </w:p>
    <w:bookmarkStart w:id="310" w:name="page311"/>
    <w:bookmarkEnd w:id="310"/>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any of the VE Redemption Trigger Events, the NIP Redemption Trigger Events and the NIP Special Redemption Trigger Events (each, a "</w:t>
      </w:r>
      <w:r>
        <w:rPr>
          <w:rFonts w:ascii="Times New Roman" w:cs="Times New Roman" w:eastAsia="Times New Roman" w:hAnsi="Times New Roman"/>
          <w:sz w:val="18"/>
          <w:szCs w:val="18"/>
          <w:b w:val="1"/>
          <w:bCs w:val="1"/>
          <w:color w:val="auto"/>
        </w:rPr>
        <w:t>Redemption Trigger Event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ectPr>
          <w:pgSz w:w="11900" w:h="16838" w:orient="portrait"/>
          <w:cols w:equalWidth="0" w:num="2">
            <w:col w:w="1860" w:space="720"/>
            <w:col w:w="8000"/>
          </w:cols>
          <w:pgMar w:left="980" w:top="927" w:right="339" w:bottom="1440" w:gutter="0" w:footer="0" w:header="0"/>
        </w:sect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out in Article 5.6(d).</w:t>
      </w:r>
    </w:p>
    <w:p>
      <w:pPr>
        <w:spacing w:after="0" w:line="396"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 of Members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 and includes (except where otherwise stated) any duplicate or branch register.</w:t>
      </w:r>
    </w:p>
    <w:p>
      <w:pPr>
        <w:spacing w:after="0" w:line="11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Registered Office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 in the Cayman Islands.</w:t>
      </w:r>
    </w:p>
    <w:p>
      <w:pPr>
        <w:spacing w:after="0" w:line="181"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Requisite Approvals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such approval(s) by the Board and/or the Shareholders as required with respect to a Reserved Matter pursuant to these Articles and the Shareholders Agreement.</w:t>
      </w:r>
    </w:p>
    <w:p>
      <w:pPr>
        <w:spacing w:after="0" w:line="11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such matters set out in Part A-1 of Schedule 1 to these Articles.</w:t>
      </w:r>
    </w:p>
    <w:p>
      <w:pPr>
        <w:spacing w:after="0" w:line="40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Reserved Matters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Ordinary Board Matters, the Reserved Board Matters, the Shareholders Ordinary Matters and the Shareholders Reserved Matters, collectively (each, a "</w:t>
      </w:r>
      <w:r>
        <w:rPr>
          <w:rFonts w:ascii="Times New Roman" w:cs="Times New Roman" w:eastAsia="Times New Roman" w:hAnsi="Times New Roman"/>
          <w:sz w:val="18"/>
          <w:szCs w:val="18"/>
          <w:b w:val="1"/>
          <w:bCs w:val="1"/>
          <w:color w:val="auto"/>
        </w:rPr>
        <w:t>Reserved Matter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 Plan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has the meaning given to that term in the Subscription Agreement.</w:t>
      </w:r>
    </w:p>
    <w:p>
      <w:pPr>
        <w:spacing w:after="0" w:line="185"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Agreement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has the meaning set out in Article 11.5(b).</w:t>
      </w:r>
    </w:p>
    <w:p>
      <w:pPr>
        <w:spacing w:after="0" w:line="185"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(a) that is currently subject to or the target of Sanctions; (b) that is appearing on the Specially Designated Nationals and Blocked Persons List of the US Government's Office of Foreign Assets Control;</w:t>
      </w:r>
    </w:p>
    <w:p>
      <w:pPr>
        <w:spacing w:after="0" w:line="1" w:lineRule="exact"/>
        <w:rPr>
          <w:sz w:val="20"/>
          <w:szCs w:val="20"/>
          <w:color w:val="auto"/>
        </w:rPr>
      </w:pPr>
    </w:p>
    <w:p>
      <w:pPr>
        <w:jc w:val="both"/>
        <w:ind w:left="2580" w:firstLine="8"/>
        <w:spacing w:after="0" w:line="252" w:lineRule="auto"/>
        <w:tabs>
          <w:tab w:leader="none" w:pos="283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a transaction is prohibited by Executive Order 13224, the USA Patriot Act, the Trading with the Enemy Act, or the foreign asset control regulations of the United States Treasury Department, in each case as amended from time to time; (d) that to the actual knowledge of a party, is controlled by any person and/or corporation described in the foregoing item (b) or (c) with ownership of 20% or more of outstanding voting securities being presumptively a control position; or (e) that has its principal place of business, or the majority of its business operations (measured by revenues), located in a country described in the foregoing item (c).</w:t>
      </w:r>
    </w:p>
    <w:p>
      <w:pPr>
        <w:spacing w:after="0" w:line="200" w:lineRule="exact"/>
        <w:rPr>
          <w:sz w:val="20"/>
          <w:szCs w:val="20"/>
          <w:color w:val="auto"/>
        </w:rPr>
      </w:pP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type w:val="continuous"/>
        </w:sectPr>
      </w:pPr>
    </w:p>
    <w:bookmarkStart w:id="311" w:name="page312"/>
    <w:bookmarkEnd w:id="311"/>
    <w:tbl>
      <w:tblPr>
        <w:tblLayout w:type="fixed"/>
        <w:tblInd w:w="0" w:type="dxa"/>
        <w:tblCellMar>
          <w:top w:w="0" w:type="dxa"/>
          <w:left w:w="0" w:type="dxa"/>
          <w:bottom w:w="0" w:type="dxa"/>
          <w:right w:w="0" w:type="dxa"/>
        </w:tblCellMar>
      </w:tblPr>
      <w:tr>
        <w:trPr>
          <w:trHeight w:val="220"/>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any sanctions administered or enforced by any Government Authority or inter-governmental body,</w:t>
            </w:r>
          </w:p>
        </w:tc>
      </w:tr>
      <w:tr>
        <w:trPr>
          <w:trHeight w:val="216"/>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including but not limited to the United Nations Security Council, Hong Kong Monetary Authority, the People's</w:t>
            </w:r>
          </w:p>
        </w:tc>
      </w:tr>
      <w:tr>
        <w:trPr>
          <w:trHeight w:val="216"/>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Republic of China's Ministry of Commerce or Ministry of Foreign Affairs, the European Union, Her Majesty's</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the Government of Switzerland or the US Government's Office of Foreign Assets Control.</w:t>
            </w:r>
          </w:p>
        </w:tc>
      </w:tr>
      <w:tr>
        <w:trPr>
          <w:trHeight w:val="392"/>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any Shares, or any other securities issued by the Company, which are exercisable, convertible into, or</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carrying the right to subscribe for, shares in the capital of the Company.</w:t>
            </w:r>
          </w:p>
        </w:tc>
      </w:tr>
      <w:tr>
        <w:trPr>
          <w:trHeight w:val="373"/>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the shares in the capital of the Company together with all rights attaching thereto, including for the</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avoidance of doubt, the Ordinary Shares and the Preferred Shares.</w:t>
            </w: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or</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each of the VE Founder Holdcos, the VE Financial Shareholders, SIG, MCN Shareholders and NIP</w:t>
            </w:r>
          </w:p>
        </w:tc>
      </w:tr>
      <w:tr>
        <w:trPr>
          <w:trHeight w:val="216"/>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as well as any registered holder of Shares from time to time having the benefit of this</w:t>
            </w:r>
          </w:p>
        </w:tc>
      </w:tr>
      <w:tr>
        <w:trPr>
          <w:trHeight w:val="220"/>
        </w:trPr>
        <w:tc>
          <w:tcPr>
            <w:tcW w:w="2880" w:type="dxa"/>
            <w:vAlign w:val="bottom"/>
          </w:tcPr>
          <w:p>
            <w:pPr>
              <w:spacing w:after="0"/>
              <w:rPr>
                <w:sz w:val="19"/>
                <w:szCs w:val="19"/>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 and the expression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shall mean any one of them as the context</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requires.</w:t>
            </w: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the shareholders agreement dated 30 June 2023 entered into by and among the Company, VE Founders,</w:t>
            </w:r>
          </w:p>
        </w:tc>
      </w:tr>
      <w:tr>
        <w:trPr>
          <w:trHeight w:val="220"/>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 Founder Holdcos, VE Financial Shareholders, VE ESOP Platform, SIG, MCN Shareholders, NIP</w:t>
            </w:r>
          </w:p>
        </w:tc>
      </w:tr>
      <w:tr>
        <w:trPr>
          <w:trHeight w:val="216"/>
        </w:trPr>
        <w:tc>
          <w:tcPr>
            <w:tcW w:w="2880" w:type="dxa"/>
            <w:vAlign w:val="bottom"/>
          </w:tcPr>
          <w:p>
            <w:pPr>
              <w:spacing w:after="0"/>
              <w:rPr>
                <w:sz w:val="18"/>
                <w:szCs w:val="18"/>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Founders, NIP Founder Holdcos and NIP Financial Shareholders in respect of the Company, as amended or</w:t>
            </w:r>
          </w:p>
        </w:tc>
      </w:tr>
      <w:tr>
        <w:trPr>
          <w:trHeight w:val="234"/>
        </w:trPr>
        <w:tc>
          <w:tcPr>
            <w:tcW w:w="2880" w:type="dxa"/>
            <w:vAlign w:val="bottom"/>
          </w:tcPr>
          <w:p>
            <w:pPr>
              <w:spacing w:after="0"/>
              <w:rPr>
                <w:sz w:val="20"/>
                <w:szCs w:val="20"/>
                <w:color w:val="auto"/>
              </w:rPr>
            </w:pP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supplemented from time to time.</w:t>
            </w: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Ordinary</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such matters set out in Part B-2 of Schedule 1 to these Articles.</w:t>
            </w:r>
          </w:p>
        </w:tc>
      </w:tr>
      <w:tr>
        <w:trPr>
          <w:trHeight w:val="238"/>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w:t>
            </w:r>
          </w:p>
        </w:tc>
        <w:tc>
          <w:tcPr>
            <w:tcW w:w="8360" w:type="dxa"/>
            <w:vAlign w:val="bottom"/>
          </w:tcPr>
          <w:p>
            <w:pPr>
              <w:spacing w:after="0"/>
              <w:rPr>
                <w:sz w:val="20"/>
                <w:szCs w:val="20"/>
                <w:color w:val="auto"/>
              </w:rPr>
            </w:pPr>
          </w:p>
        </w:tc>
      </w:tr>
      <w:tr>
        <w:trPr>
          <w:trHeight w:val="369"/>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Reserved</w:t>
            </w:r>
          </w:p>
        </w:tc>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such matters set out in Part B-1 of Schedule 1 to these Articles.</w:t>
            </w:r>
          </w:p>
        </w:tc>
      </w:tr>
      <w:tr>
        <w:trPr>
          <w:trHeight w:val="238"/>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w:t>
            </w:r>
          </w:p>
        </w:tc>
        <w:tc>
          <w:tcPr>
            <w:tcW w:w="8360" w:type="dxa"/>
            <w:vAlign w:val="bottom"/>
          </w:tcPr>
          <w:p>
            <w:pPr>
              <w:spacing w:after="0"/>
              <w:rPr>
                <w:sz w:val="20"/>
                <w:szCs w:val="20"/>
                <w:color w:val="auto"/>
              </w:rPr>
            </w:pPr>
          </w:p>
        </w:tc>
      </w:tr>
      <w:tr>
        <w:trPr>
          <w:trHeight w:val="675"/>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927" w:right="339"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SIG China Investments Master Fund IV, LLLP, a company incorporated and existing under the laws of</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State of Delaware, U.S., with its registered office at One Commerce Center, 1201 N. Orange Street,</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Suite 715 in the City of Wilmington, 19801</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same meaning as in the Companies Act, and includes a unanimous written resolution.</w:t>
            </w:r>
          </w:p>
        </w:tc>
      </w:tr>
      <w:tr>
        <w:trPr>
          <w:trHeight w:val="369"/>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the share subscription agreement for the subscription of certain number of Class A Preferred Shares in</w:t>
            </w:r>
          </w:p>
        </w:tc>
      </w:tr>
      <w:tr>
        <w:trPr>
          <w:trHeight w:val="220"/>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 dated 30 June 2023, entered into by, inter alia, the Company and certain VE Financial</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Shareholders.</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Period</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5.6(c).</w:t>
            </w: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Unit Price</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6.1.</w:t>
            </w:r>
          </w:p>
        </w:tc>
      </w:tr>
      <w:tr>
        <w:trPr>
          <w:trHeight w:val="373"/>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with respect to any person, (i) any corporation of which a majority of the securities entitled to vote</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generally in the election of directors thereof, at the time as of which any determination is being made, are</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owned by such person, either directly or indirectly, (ii) any joint venture, general or limited partnership,</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limited liability company or other legal entity in which such person is the record or beneficial owner, directly</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or indirectly, of a majority of the voting interests or the general partner, or (iii) any variable interest entity</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controlled by such person or its Subsidiary.</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 Notice</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11.5(b).</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 Securities</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set out in Article 11.5(b).</w:t>
            </w:r>
          </w:p>
        </w:tc>
      </w:tr>
      <w:tr>
        <w:trPr>
          <w:trHeight w:val="391"/>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Tag-Along Right</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set out in 11.5(b).</w:t>
            </w:r>
          </w:p>
        </w:tc>
      </w:tr>
      <w:tr>
        <w:trPr>
          <w:trHeight w:val="392"/>
        </w:trPr>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tc>
        <w:tc>
          <w:tcPr>
            <w:tcW w:w="8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where any Shareholder does, or agree to do, any of the following:</w:t>
            </w:r>
          </w:p>
        </w:tc>
      </w:tr>
      <w:tr>
        <w:trPr>
          <w:trHeight w:val="441"/>
        </w:trPr>
        <w:tc>
          <w:tcPr>
            <w:tcW w:w="29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directly or indirectly, sell, transfer or otherwise dispose of, any of its Shares or any interest in any of</w:t>
            </w:r>
          </w:p>
        </w:tc>
      </w:tr>
      <w:tr>
        <w:trPr>
          <w:trHeight w:val="234"/>
        </w:trPr>
        <w:tc>
          <w:tcPr>
            <w:tcW w:w="2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 Shares or any share capital attributable to its Shares;</w:t>
            </w:r>
          </w:p>
        </w:tc>
      </w:tr>
      <w:tr>
        <w:trPr>
          <w:trHeight w:val="850"/>
        </w:trPr>
        <w:tc>
          <w:tcPr>
            <w:tcW w:w="2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927" w:right="339" w:bottom="1440" w:gutter="0" w:footer="0" w:header="0"/>
        </w:sectPr>
      </w:pPr>
    </w:p>
    <w:bookmarkStart w:id="313" w:name="page314"/>
    <w:bookmarkEnd w:id="3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Encumber any of its Shares or any interest in any of its Shares or any share capital attributable to its</w:t>
            </w:r>
          </w:p>
        </w:tc>
      </w:tr>
      <w:tr>
        <w:trPr>
          <w:trHeight w:val="234"/>
        </w:trPr>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w:t>
            </w:r>
          </w:p>
        </w:tc>
      </w:tr>
      <w:tr>
        <w:trPr>
          <w:trHeight w:val="373"/>
        </w:trPr>
        <w:tc>
          <w:tcPr>
            <w:tcW w:w="27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 into any agreement or arrangement in respect of the voting rights or other rights attached to any</w:t>
            </w:r>
          </w:p>
        </w:tc>
      </w:tr>
      <w:tr>
        <w:trPr>
          <w:trHeight w:val="234"/>
        </w:trPr>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its Shares or any share capital attributable to its Shares; or</w:t>
            </w:r>
          </w:p>
        </w:tc>
      </w:tr>
      <w:tr>
        <w:trPr>
          <w:trHeight w:val="392"/>
        </w:trPr>
        <w:tc>
          <w:tcPr>
            <w:tcW w:w="27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 into any formal or informal agreement or arrangement to do any of the foregoing,</w:t>
            </w:r>
          </w:p>
        </w:tc>
      </w:tr>
      <w:tr>
        <w:trPr>
          <w:trHeight w:val="441"/>
        </w:trPr>
        <w:tc>
          <w:tcPr>
            <w:tcW w:w="2780" w:type="dxa"/>
            <w:vAlign w:val="bottom"/>
          </w:tcPr>
          <w:p>
            <w:pPr>
              <w:spacing w:after="0"/>
              <w:rPr>
                <w:sz w:val="24"/>
                <w:szCs w:val="24"/>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but shall not include any transfer of interests or shares of the limited partners of the VE Financial Shareholders</w:t>
            </w:r>
          </w:p>
        </w:tc>
      </w:tr>
      <w:tr>
        <w:trPr>
          <w:trHeight w:val="234"/>
        </w:trPr>
        <w:tc>
          <w:tcPr>
            <w:tcW w:w="2780" w:type="dxa"/>
            <w:vAlign w:val="bottom"/>
          </w:tcPr>
          <w:p>
            <w:pPr>
              <w:spacing w:after="0"/>
              <w:rPr>
                <w:sz w:val="20"/>
                <w:szCs w:val="20"/>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that will not affect any necessary Authorizations for the operation of the Group Companies.</w:t>
            </w:r>
          </w:p>
        </w:tc>
      </w:tr>
      <w:tr>
        <w:trPr>
          <w:trHeight w:val="459"/>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w:t>
            </w: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means the generally accepted accounting principles in the United States, applied on a consistent basis.</w:t>
            </w:r>
          </w:p>
        </w:tc>
      </w:tr>
      <w:tr>
        <w:trPr>
          <w:trHeight w:val="432"/>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Directors</w:t>
            </w:r>
            <w:r>
              <w:rPr>
                <w:rFonts w:ascii="Times New Roman" w:cs="Times New Roman" w:eastAsia="Times New Roman" w:hAnsi="Times New Roman"/>
                <w:sz w:val="18"/>
                <w:szCs w:val="18"/>
                <w:color w:val="auto"/>
              </w:rPr>
              <w:t>"</w:t>
            </w: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 the meaning set out in Article 24.3.</w:t>
            </w:r>
          </w:p>
        </w:tc>
      </w:tr>
      <w:tr>
        <w:trPr>
          <w:trHeight w:val="441"/>
        </w:trPr>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ESOP Platform</w:t>
            </w:r>
            <w:r>
              <w:rPr>
                <w:rFonts w:ascii="Times New Roman" w:cs="Times New Roman" w:eastAsia="Times New Roman" w:hAnsi="Times New Roman"/>
                <w:sz w:val="18"/>
                <w:szCs w:val="18"/>
                <w:color w:val="auto"/>
              </w:rPr>
              <w:t>"</w:t>
            </w:r>
          </w:p>
        </w:tc>
        <w:tc>
          <w:tcPr>
            <w:tcW w:w="8460" w:type="dxa"/>
            <w:vAlign w:val="bottom"/>
            <w:gridSpan w:val="2"/>
          </w:tcPr>
          <w:p>
            <w:pPr>
              <w:ind w:left="460"/>
              <w:spacing w:after="0" w:line="219" w:lineRule="exact"/>
              <w:rPr>
                <w:sz w:val="20"/>
                <w:szCs w:val="20"/>
                <w:color w:val="auto"/>
              </w:rPr>
            </w:pPr>
            <w:r>
              <w:rPr>
                <w:rFonts w:ascii="Times New Roman" w:cs="Times New Roman" w:eastAsia="Times New Roman" w:hAnsi="Times New Roman"/>
                <w:sz w:val="18"/>
                <w:szCs w:val="18"/>
                <w:color w:val="auto"/>
              </w:rPr>
              <w:t>Blooming Time International Limited (</w:t>
            </w:r>
            <w:r>
              <w:rPr>
                <w:rFonts w:ascii="SimSun" w:cs="SimSun" w:eastAsia="SimSun" w:hAnsi="SimSun"/>
                <w:sz w:val="18"/>
                <w:szCs w:val="18"/>
                <w:color w:val="auto"/>
              </w:rPr>
              <w:t>時盛國際有限公司</w:t>
            </w:r>
            <w:r>
              <w:rPr>
                <w:rFonts w:ascii="Times New Roman" w:cs="Times New Roman" w:eastAsia="Times New Roman" w:hAnsi="Times New Roman"/>
                <w:sz w:val="18"/>
                <w:szCs w:val="18"/>
                <w:color w:val="auto"/>
              </w:rPr>
              <w:t>), a company incorporated and existing under the</w:t>
            </w:r>
          </w:p>
        </w:tc>
      </w:tr>
      <w:tr>
        <w:trPr>
          <w:trHeight w:val="216"/>
        </w:trPr>
        <w:tc>
          <w:tcPr>
            <w:tcW w:w="2780" w:type="dxa"/>
            <w:vAlign w:val="bottom"/>
          </w:tcPr>
          <w:p>
            <w:pPr>
              <w:spacing w:after="0"/>
              <w:rPr>
                <w:sz w:val="18"/>
                <w:szCs w:val="18"/>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laws of the British Virgin Islands, registration number 2061990, with its registered office at Vistra Corporate</w:t>
            </w:r>
          </w:p>
        </w:tc>
      </w:tr>
      <w:tr>
        <w:trPr>
          <w:trHeight w:val="234"/>
        </w:trPr>
        <w:tc>
          <w:tcPr>
            <w:tcW w:w="2780" w:type="dxa"/>
            <w:vAlign w:val="bottom"/>
          </w:tcPr>
          <w:p>
            <w:pPr>
              <w:spacing w:after="0"/>
              <w:rPr>
                <w:sz w:val="20"/>
                <w:szCs w:val="20"/>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Services Centre, Wickhams Cay II, Road Town, Tortola, VG1110, British Virgin Islands.</w:t>
            </w:r>
          </w:p>
        </w:tc>
      </w:tr>
      <w:tr>
        <w:trPr>
          <w:trHeight w:val="675"/>
        </w:trPr>
        <w:tc>
          <w:tcPr>
            <w:tcW w:w="2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931"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Financial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34" w:lineRule="exact"/>
        <w:rPr>
          <w:sz w:val="20"/>
          <w:szCs w:val="20"/>
          <w:color w:val="auto"/>
        </w:rPr>
      </w:pPr>
      <w:r>
        <w:rPr>
          <w:rFonts w:ascii="Times New Roman" w:cs="Times New Roman" w:eastAsia="Times New Roman" w:hAnsi="Times New Roman"/>
          <w:sz w:val="18"/>
          <w:szCs w:val="18"/>
          <w:color w:val="auto"/>
        </w:rPr>
        <w:t>means (a) Shanghai Yuyun Management Partnership (Limited Partnership) (</w:t>
      </w:r>
      <w:r>
        <w:rPr>
          <w:rFonts w:ascii="SimSun" w:cs="SimSun" w:eastAsia="SimSun" w:hAnsi="SimSun"/>
          <w:sz w:val="18"/>
          <w:szCs w:val="18"/>
          <w:color w:val="auto"/>
        </w:rPr>
        <w:t>上海誉赟企业管理合伙企业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a partnership incorporated and existing under the laws of People’s Republic of China, with its registered office at Room 368, Part 302, No. 211 North Fute Road, China (Shanghai) Pilot Free Trade Zone,</w:t>
      </w:r>
    </w:p>
    <w:p>
      <w:pPr>
        <w:jc w:val="both"/>
        <w:ind w:firstLine="8"/>
        <w:spacing w:after="0" w:line="221" w:lineRule="exact"/>
        <w:tabs>
          <w:tab w:leader="none" w:pos="28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Douyu Investment Limited, a company incorporated and existing under the laws of the British Virgin Islands (registered ID 2042529) with its registered office at AMS Trustees Limited, Sea Meadow House, Blackburne Highway, (P. O. Box 116), Road Town, Tortola, British Virgin Islands, (c) Shenzhen Guojin Angel III Venture Capital Enterprise (Limited Partnership) ( </w:t>
      </w:r>
      <w:r>
        <w:rPr>
          <w:rFonts w:ascii="SimSun" w:cs="SimSun" w:eastAsia="SimSun" w:hAnsi="SimSun"/>
          <w:sz w:val="18"/>
          <w:szCs w:val="18"/>
          <w:color w:val="auto"/>
        </w:rPr>
        <w:t>深圳国金天使三期创业投资企业</w:t>
      </w:r>
      <w:r>
        <w:rPr>
          <w:rFonts w:ascii="Times New Roman" w:cs="Times New Roman" w:eastAsia="Times New Roman" w:hAnsi="Times New Roman"/>
          <w:sz w:val="18"/>
          <w:szCs w:val="18"/>
          <w:color w:val="auto"/>
        </w:rPr>
        <w:t xml:space="preserve"> ( </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a company incorporated and existing under the laws of the PRC (uniformed social credit code: 91440300MA5DN6K23Y), with its registered office at Room 201, Building A, No.1 Qianwan Road 1, Qianhai Hong Kong-Shenzhen Cooperation Zone, Shenzhen, China (in Shenzhen Qianhai Business Secretary Co., Ltd.), (d) Wuhan Rongzhu Information Technology Service Co., Ltd (</w:t>
      </w:r>
      <w:r>
        <w:rPr>
          <w:rFonts w:ascii="SimSun" w:cs="SimSun" w:eastAsia="SimSun" w:hAnsi="SimSun"/>
          <w:sz w:val="18"/>
          <w:szCs w:val="18"/>
          <w:color w:val="auto"/>
        </w:rPr>
        <w:t>武汉荣烛信息技术服务有限公司</w:t>
      </w:r>
      <w:r>
        <w:rPr>
          <w:rFonts w:ascii="Times New Roman" w:cs="Times New Roman" w:eastAsia="Times New Roman" w:hAnsi="Times New Roman"/>
          <w:sz w:val="18"/>
          <w:szCs w:val="18"/>
          <w:color w:val="auto"/>
        </w:rPr>
        <w:t xml:space="preserve">), a company incorporated and existing under the laws of PRC (uniformed social credit code: 91420102MA4KX8NB08), with its registered office at No. 1138, Qiantu Zhongchuang Space, No. 9 and 10, 20th Floor, Building B, Yamao Plaza, No. 628, Wuluo Road, Wuchang District), (e) True Thrive Limited, a company incorporated and existing under the laws of the Cayman Islands (registered ID OI-304760) with its registered office at offices of Offshore Incorporations (Cayman) Limited, Floor 4, Willow House, Cricket Square, P O Box 2804, Grand Cayman KY1-1112, Cayman Islands, (f) Shanghai Chuyuan Enterprise Management Partnership (Limited Partnership) ( </w:t>
      </w:r>
      <w:r>
        <w:rPr>
          <w:rFonts w:ascii="SimSun" w:cs="SimSun" w:eastAsia="SimSun" w:hAnsi="SimSun"/>
          <w:sz w:val="18"/>
          <w:szCs w:val="18"/>
          <w:color w:val="auto"/>
        </w:rPr>
        <w:t>上海矗源企业管理合伙企业</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a partnership incorporated and existing under the laws of the PRC (uniformed social credit code:</w:t>
      </w:r>
    </w:p>
    <w:p>
      <w:pPr>
        <w:spacing w:after="0" w:line="9"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7"/>
          <w:szCs w:val="17"/>
          <w:color w:val="auto"/>
        </w:rPr>
        <w:t>91310115MA1HB4WX9Q) with its registered offic</w:t>
      </w:r>
      <w:r>
        <w:rPr>
          <w:rFonts w:ascii="Times New Roman" w:cs="Times New Roman" w:eastAsia="Times New Roman" w:hAnsi="Times New Roman"/>
          <w:sz w:val="28"/>
          <w:szCs w:val="28"/>
          <w:color w:val="auto"/>
          <w:vertAlign w:val="superscript"/>
        </w:rPr>
        <w:t>e</w:t>
      </w:r>
      <w:r>
        <w:rPr>
          <w:rFonts w:ascii="Times New Roman" w:cs="Times New Roman" w:eastAsia="Times New Roman" w:hAnsi="Times New Roman"/>
          <w:sz w:val="17"/>
          <w:szCs w:val="17"/>
          <w:color w:val="auto"/>
        </w:rPr>
        <w:t xml:space="preserve"> at 5th Floor, Building 7, No. 3601 Dongfang Road, Pudong New Area, Shanghai, (g) Jiaxing ZhenFund Tianyu Equity Investment Partnership (Limited Partnership) (</w:t>
      </w:r>
      <w:r>
        <w:rPr>
          <w:rFonts w:ascii="SimSun" w:cs="SimSun" w:eastAsia="SimSun" w:hAnsi="SimSun"/>
          <w:sz w:val="17"/>
          <w:szCs w:val="17"/>
          <w:color w:val="auto"/>
        </w:rPr>
        <w:t>嘉兴真格天域股权投资合伙企业</w:t>
      </w:r>
      <w:r>
        <w:rPr>
          <w:rFonts w:ascii="Times New Roman" w:cs="Times New Roman" w:eastAsia="Times New Roman" w:hAnsi="Times New Roman"/>
          <w:sz w:val="17"/>
          <w:szCs w:val="17"/>
          <w:color w:val="auto"/>
        </w:rPr>
        <w:t>(</w:t>
      </w:r>
      <w:r>
        <w:rPr>
          <w:rFonts w:ascii="SimSun" w:cs="SimSun" w:eastAsia="SimSun" w:hAnsi="SimSun"/>
          <w:sz w:val="17"/>
          <w:szCs w:val="17"/>
          <w:color w:val="auto"/>
        </w:rPr>
        <w:t>有限合伙</w:t>
      </w:r>
      <w:r>
        <w:rPr>
          <w:rFonts w:ascii="Times New Roman" w:cs="Times New Roman" w:eastAsia="Times New Roman" w:hAnsi="Times New Roman"/>
          <w:sz w:val="17"/>
          <w:szCs w:val="17"/>
          <w:color w:val="auto"/>
        </w:rPr>
        <w:t>)), a partnership incorporated and existing under the laws of the PRC (uniformed social credit code: 91330402MA29FTUF3E) with its registered office at Room 103, Building 3, Fund Town, No.1856 Nanjiang Road, Nanhu District, Jiaxing City, Zhejiang Province, China,</w:t>
      </w:r>
    </w:p>
    <w:p>
      <w:pPr>
        <w:spacing w:after="0" w:line="2" w:lineRule="exact"/>
        <w:rPr>
          <w:sz w:val="20"/>
          <w:szCs w:val="20"/>
          <w:color w:val="auto"/>
        </w:rPr>
      </w:pPr>
    </w:p>
    <w:p>
      <w:pPr>
        <w:jc w:val="both"/>
        <w:ind w:firstLine="8"/>
        <w:spacing w:after="0" w:line="227" w:lineRule="exact"/>
        <w:tabs>
          <w:tab w:leader="none" w:pos="264"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Jiangxi Everbright Industry Co., Ltd. (</w:t>
      </w:r>
      <w:r>
        <w:rPr>
          <w:rFonts w:ascii="SimSun" w:cs="SimSun" w:eastAsia="SimSun" w:hAnsi="SimSun"/>
          <w:sz w:val="17"/>
          <w:szCs w:val="17"/>
          <w:color w:val="auto"/>
        </w:rPr>
        <w:t>江西日月明实业有限公司</w:t>
      </w:r>
      <w:r>
        <w:rPr>
          <w:rFonts w:ascii="Times New Roman" w:cs="Times New Roman" w:eastAsia="Times New Roman" w:hAnsi="Times New Roman"/>
          <w:sz w:val="17"/>
          <w:szCs w:val="17"/>
          <w:color w:val="auto"/>
        </w:rPr>
        <w:t xml:space="preserve">), a company incorporated and existing under the laws of the PRC (uniformed social credit code: 91360000158285501E) with its registered office at Digital Building, No. 966, Gaoxin 5 Road, Nanchang Hi-Tech Industrial Development Zone, Nanchang City, Jiangxi Province, China (i) TOP LEAD VENTURES LIMITED ( </w:t>
      </w:r>
      <w:r>
        <w:rPr>
          <w:rFonts w:ascii="SimSun" w:cs="SimSun" w:eastAsia="SimSun" w:hAnsi="SimSun"/>
          <w:sz w:val="17"/>
          <w:szCs w:val="17"/>
          <w:color w:val="auto"/>
        </w:rPr>
        <w:t>先領創投有限公司</w:t>
      </w:r>
      <w:r>
        <w:rPr>
          <w:rFonts w:ascii="Times New Roman" w:cs="Times New Roman" w:eastAsia="Times New Roman" w:hAnsi="Times New Roman"/>
          <w:sz w:val="17"/>
          <w:szCs w:val="17"/>
          <w:color w:val="auto"/>
        </w:rPr>
        <w:t xml:space="preserve"> ), a company incorporated and existing under the laws of the British Virgin Islands (Registered ID: 2061993), with its registered office at Vistra Corporate Services Centre, Wickhams Cay II, Road Town, Tortola, VG1110, British Virgin Islands, (j) SHENZHEN MEDIA GROUP (INTERNATIONAL) LIMITED (</w:t>
      </w:r>
      <w:r>
        <w:rPr>
          <w:rFonts w:ascii="SimSun" w:cs="SimSun" w:eastAsia="SimSun" w:hAnsi="SimSun"/>
          <w:sz w:val="17"/>
          <w:szCs w:val="17"/>
          <w:color w:val="auto"/>
        </w:rPr>
        <w:t>深圳廣播電影電視集團</w:t>
      </w:r>
      <w:r>
        <w:rPr>
          <w:rFonts w:ascii="Times New Roman" w:cs="Times New Roman" w:eastAsia="Times New Roman" w:hAnsi="Times New Roman"/>
          <w:sz w:val="17"/>
          <w:szCs w:val="17"/>
          <w:color w:val="auto"/>
        </w:rPr>
        <w:t xml:space="preserve"> ( </w:t>
      </w:r>
      <w:r>
        <w:rPr>
          <w:rFonts w:ascii="SimSun" w:cs="SimSun" w:eastAsia="SimSun" w:hAnsi="SimSun"/>
          <w:sz w:val="17"/>
          <w:szCs w:val="17"/>
          <w:color w:val="auto"/>
        </w:rPr>
        <w:t>國際</w:t>
      </w:r>
      <w:r>
        <w:rPr>
          <w:rFonts w:ascii="Times New Roman" w:cs="Times New Roman" w:eastAsia="Times New Roman" w:hAnsi="Times New Roman"/>
          <w:sz w:val="17"/>
          <w:szCs w:val="17"/>
          <w:color w:val="auto"/>
        </w:rPr>
        <w:t xml:space="preserve">) </w:t>
      </w:r>
      <w:r>
        <w:rPr>
          <w:rFonts w:ascii="SimSun" w:cs="SimSun" w:eastAsia="SimSun" w:hAnsi="SimSun"/>
          <w:sz w:val="17"/>
          <w:szCs w:val="17"/>
          <w:color w:val="auto"/>
        </w:rPr>
        <w:t>有限公司</w:t>
      </w:r>
      <w:r>
        <w:rPr>
          <w:rFonts w:ascii="Times New Roman" w:cs="Times New Roman" w:eastAsia="Times New Roman" w:hAnsi="Times New Roman"/>
          <w:sz w:val="17"/>
          <w:szCs w:val="17"/>
          <w:color w:val="auto"/>
        </w:rPr>
        <w:t>), a company incorporated and existing under the laws of Hong Kong (Registered ID: 0576614), with its registered office at Unit A&amp;B, 22/F, Aubin House, 171 – 172 Gloucester Road, Wanchai, Hong Kong, (k) Digital WD., Ltd, a company incorporated and existing under the laws of British Virgin Islands (Registered ID: 2063834), with its registered office at Start Chambers,Wickham’s Cay II, P.O.Box 2221, Road Town, Tortola, British virgin Islands, (l) Maison Investment Holding Limited (</w:t>
      </w:r>
      <w:r>
        <w:rPr>
          <w:rFonts w:ascii="SimSun" w:cs="SimSun" w:eastAsia="SimSun" w:hAnsi="SimSun"/>
          <w:sz w:val="17"/>
          <w:szCs w:val="17"/>
          <w:color w:val="auto"/>
        </w:rPr>
        <w:t>美盛股權投資有限公司</w:t>
      </w:r>
      <w:r>
        <w:rPr>
          <w:rFonts w:ascii="Times New Roman" w:cs="Times New Roman" w:eastAsia="Times New Roman" w:hAnsi="Times New Roman"/>
          <w:sz w:val="17"/>
          <w:szCs w:val="17"/>
          <w:color w:val="auto"/>
        </w:rPr>
        <w:t>), a company incorporated and existing under the laws of Hong Kong (Registered ID: 3171874), with its registered office at 16/F, C-Bons International Center, 108 Wai Yip Street, Kwun Tong, Kowloon, Hong Kong,</w:t>
      </w:r>
    </w:p>
    <w:p>
      <w:pPr>
        <w:spacing w:after="0" w:line="9" w:lineRule="exact"/>
        <w:rPr>
          <w:rFonts w:ascii="Times New Roman" w:cs="Times New Roman" w:eastAsia="Times New Roman" w:hAnsi="Times New Roman"/>
          <w:sz w:val="17"/>
          <w:szCs w:val="17"/>
          <w:color w:val="auto"/>
        </w:rPr>
      </w:pPr>
    </w:p>
    <w:p>
      <w:pPr>
        <w:jc w:val="both"/>
        <w:ind w:right="20" w:firstLine="8"/>
        <w:spacing w:after="0" w:line="255" w:lineRule="auto"/>
        <w:tabs>
          <w:tab w:leader="none" w:pos="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 Capital SPC, a company incorporated and existing under the laws of the Cayman Islands (registered ID HS-372927), with its registered office at 4th Floor, Harbour Place, 103 South Church Street, PO Box 10240, Grand Cayman KY1-1002, Cayman Islands.</w:t>
      </w:r>
    </w:p>
    <w:p>
      <w:pPr>
        <w:spacing w:after="0" w:line="200" w:lineRule="exact"/>
        <w:rPr>
          <w:sz w:val="20"/>
          <w:szCs w:val="20"/>
          <w:color w:val="auto"/>
        </w:rPr>
      </w:pPr>
    </w:p>
    <w:p>
      <w:pPr>
        <w:spacing w:after="0" w:line="22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17145</wp:posOffset>
            </wp:positionV>
            <wp:extent cx="71323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860" w:space="720"/>
            <w:col w:w="8000"/>
          </w:cols>
          <w:pgMar w:left="980" w:top="927"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Founders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means (a) Mario Yau Kwan Ho, a PRC national with his passport number of K06847445, (b) Sun Liwei, a PRC national with his identification card number of 420102198602170035, (c) Zhou Rui, a PRC national with her identification card number of 640202198709200544 and (d) Zhang Lei, a PRC national with his identification card number of 422301198509010033.</w:t>
      </w:r>
    </w:p>
    <w:p>
      <w:pPr>
        <w:spacing w:after="0" w:line="135" w:lineRule="exact"/>
        <w:rPr>
          <w:sz w:val="20"/>
          <w:szCs w:val="20"/>
          <w:color w:val="auto"/>
        </w:rPr>
      </w:pPr>
    </w:p>
    <w:p>
      <w:pPr>
        <w:sectPr>
          <w:pgSz w:w="11900" w:h="16838" w:orient="portrait"/>
          <w:cols w:equalWidth="0" w:num="2">
            <w:col w:w="1860" w:space="720"/>
            <w:col w:w="8000"/>
          </w:cols>
          <w:pgMar w:left="980" w:top="927" w:right="339" w:bottom="1440" w:gutter="0" w:footer="0" w:header="0"/>
        </w:sectPr>
      </w:pPr>
    </w:p>
    <w:p>
      <w:pPr>
        <w:jc w:val="both"/>
        <w:ind w:left="2580" w:hanging="2591"/>
        <w:spacing w:after="0" w:line="255" w:lineRule="auto"/>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Founder Holdcos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(a) Seventh Hokage Management Limited (formerly known as Mario Ho Holdings Limited), a company incorporated in the British Virgin Islands with limited liability whose registered office is at Start Chambers, Wickham’s Cay II, P.O. Box 2221, Road Town, Tortola, British Virgin Islands, (b) xiaOt Sun Holdings Limited, a company incorporated in the British Virgin Islands with limited liability whose registered office is at Start Chambers, Wickham’s Cay II, P.O. Box 2221, Road Town, Tortola, British Virgin Islands,</w:t>
      </w:r>
    </w:p>
    <w:p>
      <w:pPr>
        <w:spacing w:after="0" w:line="3" w:lineRule="exact"/>
        <w:rPr>
          <w:sz w:val="20"/>
          <w:szCs w:val="20"/>
          <w:color w:val="auto"/>
        </w:rPr>
      </w:pPr>
    </w:p>
    <w:p>
      <w:pPr>
        <w:jc w:val="both"/>
        <w:ind w:left="2580" w:firstLine="8"/>
        <w:spacing w:after="0" w:line="253" w:lineRule="auto"/>
        <w:tabs>
          <w:tab w:leader="none" w:pos="282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Ayisia Zhou Holdings Limited, a company incorporated in the British Virgin Islands with limited liability whose registered office is at Start Chambers, Wickham’s Cay II, P.O. Box 2221, Road Town, Tortola, British Virgin Islands and (d) RayZ Holdings Limited, a company incorporated in the British Virgin Islands with limited liability whose registered office is at Start Chambers, Wickham’s Cay II, P.O. Box 2221, Road Town, Tortola, British Virgin Islands.</w:t>
      </w:r>
    </w:p>
    <w:p>
      <w:pPr>
        <w:spacing w:after="0" w:line="14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Founder Parties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means, collectively, the VE Founders and the VE Founder Holdcos.</w:t>
      </w:r>
    </w:p>
    <w:p>
      <w:pPr>
        <w:spacing w:after="0" w:line="185" w:lineRule="exact"/>
        <w:rPr>
          <w:sz w:val="20"/>
          <w:szCs w:val="20"/>
          <w:color w:val="auto"/>
        </w:rPr>
      </w:pPr>
    </w:p>
    <w:p>
      <w:pPr>
        <w:jc w:val="both"/>
        <w:ind w:left="2580" w:hanging="2591"/>
        <w:spacing w:after="0" w:line="231" w:lineRule="exact"/>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Group Companies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each of (a) ESVF (Hong Kong) Esports Limited, (b) Wuhan Muyecun Network Technology Co., Ltd. (</w:t>
      </w:r>
      <w:r>
        <w:rPr>
          <w:rFonts w:ascii="SimSun" w:cs="SimSun" w:eastAsia="SimSun" w:hAnsi="SimSun"/>
          <w:sz w:val="18"/>
          <w:szCs w:val="18"/>
          <w:color w:val="auto"/>
        </w:rPr>
        <w:t>武汉木叶村网络科技有限公司</w:t>
      </w:r>
      <w:r>
        <w:rPr>
          <w:rFonts w:ascii="Times New Roman" w:cs="Times New Roman" w:eastAsia="Times New Roman" w:hAnsi="Times New Roman"/>
          <w:sz w:val="18"/>
          <w:szCs w:val="18"/>
          <w:color w:val="auto"/>
        </w:rPr>
        <w:t>), and (c) the VIE Subsidiaries, each as further detailed in the Shareholders Agreement.</w:t>
      </w: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type w:val="continuous"/>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out in Article 12.5.</w:t>
      </w:r>
    </w:p>
    <w:p>
      <w:pPr>
        <w:spacing w:after="0" w:line="181" w:lineRule="exact"/>
        <w:rPr>
          <w:sz w:val="20"/>
          <w:szCs w:val="20"/>
          <w:color w:val="auto"/>
        </w:rPr>
      </w:pPr>
    </w:p>
    <w:p>
      <w:pPr>
        <w:sectPr>
          <w:pgSz w:w="11900" w:h="16838" w:orient="portrait"/>
          <w:cols w:equalWidth="0" w:num="2">
            <w:col w:w="1860" w:space="720"/>
            <w:col w:w="8000"/>
          </w:cols>
          <w:pgMar w:left="980" w:top="92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 Funds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out in Article 12.5.</w:t>
      </w:r>
    </w:p>
    <w:p>
      <w:pPr>
        <w:spacing w:after="0" w:line="181" w:lineRule="exact"/>
        <w:rPr>
          <w:sz w:val="20"/>
          <w:szCs w:val="20"/>
          <w:color w:val="auto"/>
        </w:rPr>
      </w:pPr>
    </w:p>
    <w:p>
      <w:pPr>
        <w:sectPr>
          <w:pgSz w:w="11900" w:h="16838" w:orient="portrait"/>
          <w:cols w:equalWidth="0" w:num="2">
            <w:col w:w="1900" w:space="68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 Price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out in Article 12.4.</w:t>
      </w:r>
    </w:p>
    <w:p>
      <w:pPr>
        <w:spacing w:after="0" w:line="181"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 Trigger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events or circumstances as set out in Part A of Schedule 2 to these Articles.</w:t>
      </w:r>
    </w:p>
    <w:p>
      <w:pPr>
        <w:spacing w:after="0" w:line="39" w:lineRule="exact"/>
        <w:rPr>
          <w:sz w:val="20"/>
          <w:szCs w:val="20"/>
          <w:color w:val="auto"/>
        </w:rPr>
      </w:pPr>
    </w:p>
    <w:p>
      <w:pPr>
        <w:sectPr>
          <w:pgSz w:w="11900" w:h="16838" w:orient="portrait"/>
          <w:cols w:equalWidth="0" w:num="2">
            <w:col w:w="1920" w:space="66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Events</w:t>
      </w:r>
      <w:r>
        <w:rPr>
          <w:rFonts w:ascii="Times New Roman" w:cs="Times New Roman" w:eastAsia="Times New Roman" w:hAnsi="Times New Roman"/>
          <w:sz w:val="17"/>
          <w:szCs w:val="17"/>
          <w:color w:val="auto"/>
        </w:rPr>
        <w:t>"</w:t>
      </w:r>
    </w:p>
    <w:p>
      <w:pPr>
        <w:sectPr>
          <w:pgSz w:w="11900" w:h="16838" w:orient="portrait"/>
          <w:cols w:equalWidth="0" w:num="1">
            <w:col w:w="10580"/>
          </w:cols>
          <w:pgMar w:left="980" w:top="927"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12.1.</w:t>
      </w:r>
    </w:p>
    <w:p>
      <w:pPr>
        <w:spacing w:after="0" w:line="2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ectPr>
          <w:pgSz w:w="11900" w:h="16838" w:orient="portrait"/>
          <w:cols w:equalWidth="0" w:num="1">
            <w:col w:w="10580"/>
          </w:cols>
          <w:pgMar w:left="980" w:top="927"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Redemption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12.1.</w:t>
      </w:r>
    </w:p>
    <w:p>
      <w:pPr>
        <w:spacing w:after="0" w:line="181" w:lineRule="exact"/>
        <w:rPr>
          <w:sz w:val="20"/>
          <w:szCs w:val="20"/>
          <w:color w:val="auto"/>
        </w:rPr>
      </w:pPr>
    </w:p>
    <w:p>
      <w:pPr>
        <w:sectPr>
          <w:pgSz w:w="11900" w:h="16838" w:orient="portrait"/>
          <w:cols w:equalWidth="0" w:num="2">
            <w:col w:w="1940" w:space="64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to that term in the Shareholders Agreement.</w:t>
      </w:r>
    </w:p>
    <w:p>
      <w:pPr>
        <w:spacing w:after="0" w:line="181"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Share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Shares held by all VE Shareholders in aggregate at any given time (each, a “</w:t>
      </w:r>
      <w:r>
        <w:rPr>
          <w:rFonts w:ascii="Times New Roman" w:cs="Times New Roman" w:eastAsia="Times New Roman" w:hAnsi="Times New Roman"/>
          <w:sz w:val="18"/>
          <w:szCs w:val="18"/>
          <w:b w:val="1"/>
          <w:bCs w:val="1"/>
          <w:color w:val="auto"/>
        </w:rPr>
        <w:t>VE Share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 Shareholders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VE ESOP Platform together with the VE Founder Holdcos, the VE Financial Shareholders, MCN Shareholders and SIG.</w:t>
      </w:r>
    </w:p>
    <w:p>
      <w:pPr>
        <w:spacing w:after="0" w:line="117"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VIE Company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r>
        <w:rPr>
          <w:rFonts w:ascii="Times New Roman" w:cs="Times New Roman" w:eastAsia="Times New Roman" w:hAnsi="Times New Roman"/>
          <w:sz w:val="18"/>
          <w:szCs w:val="18"/>
          <w:color w:val="auto"/>
        </w:rPr>
        <w:t xml:space="preserve">means Wuhan Xingjingweiwu Culture &amp; Sports Development Co., Ltd. (in Chinese: </w:t>
      </w:r>
      <w:r>
        <w:rPr>
          <w:rFonts w:ascii="SimSun" w:cs="SimSun" w:eastAsia="SimSun" w:hAnsi="SimSun"/>
          <w:sz w:val="18"/>
          <w:szCs w:val="18"/>
          <w:color w:val="auto"/>
        </w:rPr>
        <w:t>武汉星竞威武文体发展有限公司</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ectPr>
          <w:pgSz w:w="11900" w:h="16838" w:orient="portrait"/>
          <w:cols w:equalWidth="0" w:num="2">
            <w:col w:w="1860" w:space="720"/>
            <w:col w:w="8000"/>
          </w:cols>
          <w:pgMar w:left="980" w:top="927" w:right="339" w:bottom="1440" w:gutter="0" w:footer="0" w:header="0"/>
          <w:type w:val="continuous"/>
        </w:sectPr>
      </w:pPr>
    </w:p>
    <w:p>
      <w:pPr>
        <w:jc w:val="both"/>
        <w:ind w:left="2580" w:hanging="2591"/>
        <w:spacing w:after="0" w:line="240" w:lineRule="exact"/>
        <w:tabs>
          <w:tab w:leader="none" w:pos="2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 Subsidiaries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means each of (a) the VIE Company, (b) Shenzhen Weiwu Esports Internet Technology Co., Ltd. (in Chinese: </w:t>
      </w:r>
      <w:r>
        <w:rPr>
          <w:rFonts w:ascii="SimSun" w:cs="SimSun" w:eastAsia="SimSun" w:hAnsi="SimSun"/>
          <w:sz w:val="17"/>
          <w:szCs w:val="17"/>
          <w:color w:val="auto"/>
        </w:rPr>
        <w:t>深圳威武电竞网络科技有限公司</w:t>
      </w:r>
      <w:r>
        <w:rPr>
          <w:rFonts w:ascii="Times New Roman" w:cs="Times New Roman" w:eastAsia="Times New Roman" w:hAnsi="Times New Roman"/>
          <w:sz w:val="17"/>
          <w:szCs w:val="17"/>
          <w:color w:val="auto"/>
        </w:rPr>
        <w:t xml:space="preserve">), (c) Wuhan Xingjing Interactive Entertainment Co., Ltd. (in Chinese: </w:t>
      </w:r>
      <w:r>
        <w:rPr>
          <w:rFonts w:ascii="SimSun" w:cs="SimSun" w:eastAsia="SimSun" w:hAnsi="SimSun"/>
          <w:sz w:val="17"/>
          <w:szCs w:val="17"/>
          <w:color w:val="auto"/>
        </w:rPr>
        <w:t>武汉星竞互动娱乐有限公司</w:t>
      </w:r>
      <w:r>
        <w:rPr>
          <w:rFonts w:ascii="Times New Roman" w:cs="Times New Roman" w:eastAsia="Times New Roman" w:hAnsi="Times New Roman"/>
          <w:sz w:val="17"/>
          <w:szCs w:val="17"/>
          <w:color w:val="auto"/>
        </w:rPr>
        <w:t xml:space="preserve">), (d) Shanghai Xingzhi Culture Media Co., Ltd. (in Chinese: </w:t>
      </w:r>
      <w:r>
        <w:rPr>
          <w:rFonts w:ascii="SimSun" w:cs="SimSun" w:eastAsia="SimSun" w:hAnsi="SimSun"/>
          <w:sz w:val="17"/>
          <w:szCs w:val="17"/>
          <w:color w:val="auto"/>
        </w:rPr>
        <w:t>上海星炙文化传媒有限公司</w:t>
      </w:r>
      <w:r>
        <w:rPr>
          <w:rFonts w:ascii="Times New Roman" w:cs="Times New Roman" w:eastAsia="Times New Roman" w:hAnsi="Times New Roman"/>
          <w:sz w:val="17"/>
          <w:szCs w:val="17"/>
          <w:color w:val="auto"/>
        </w:rPr>
        <w:t xml:space="preserve">), (e) Wuhan Xinghui Culture Media Co., Ltd. (in Chinese: </w:t>
      </w:r>
      <w:r>
        <w:rPr>
          <w:rFonts w:ascii="SimSun" w:cs="SimSun" w:eastAsia="SimSun" w:hAnsi="SimSun"/>
          <w:sz w:val="17"/>
          <w:szCs w:val="17"/>
          <w:color w:val="auto"/>
        </w:rPr>
        <w:t>武汉星晖文化传媒有限公司</w:t>
      </w:r>
      <w:r>
        <w:rPr>
          <w:rFonts w:ascii="Times New Roman" w:cs="Times New Roman" w:eastAsia="Times New Roman" w:hAnsi="Times New Roman"/>
          <w:sz w:val="17"/>
          <w:szCs w:val="17"/>
          <w:color w:val="auto"/>
        </w:rPr>
        <w:t xml:space="preserve">), (f) Hongli Culture Communications (Wuhan) Co., Ltd. (in Chinese: </w:t>
      </w:r>
      <w:r>
        <w:rPr>
          <w:rFonts w:ascii="SimSun" w:cs="SimSun" w:eastAsia="SimSun" w:hAnsi="SimSun"/>
          <w:sz w:val="17"/>
          <w:szCs w:val="17"/>
          <w:color w:val="auto"/>
        </w:rPr>
        <w:t>红鲤文化传播（武汉）有限公司</w:t>
      </w:r>
      <w:r>
        <w:rPr>
          <w:rFonts w:ascii="Times New Roman" w:cs="Times New Roman" w:eastAsia="Times New Roman" w:hAnsi="Times New Roman"/>
          <w:sz w:val="17"/>
          <w:szCs w:val="17"/>
          <w:color w:val="auto"/>
        </w:rPr>
        <w:t>), (g) Shenzhen Daweixianglong Sports Co., Ltd. (</w:t>
      </w:r>
      <w:r>
        <w:rPr>
          <w:rFonts w:ascii="SimSun" w:cs="SimSun" w:eastAsia="SimSun" w:hAnsi="SimSun"/>
          <w:sz w:val="17"/>
          <w:szCs w:val="17"/>
          <w:color w:val="auto"/>
        </w:rPr>
        <w:t>深圳市大威翔龙体育有限公司</w:t>
      </w:r>
      <w:r>
        <w:rPr>
          <w:rFonts w:ascii="Times New Roman" w:cs="Times New Roman" w:eastAsia="Times New Roman" w:hAnsi="Times New Roman"/>
          <w:sz w:val="17"/>
          <w:szCs w:val="17"/>
          <w:color w:val="auto"/>
        </w:rPr>
        <w:t>), , (h) Taicang Xingjing Culture Media Co., Ltd. (</w:t>
      </w:r>
      <w:r>
        <w:rPr>
          <w:rFonts w:ascii="SimSun" w:cs="SimSun" w:eastAsia="SimSun" w:hAnsi="SimSun"/>
          <w:sz w:val="17"/>
          <w:szCs w:val="17"/>
          <w:color w:val="auto"/>
        </w:rPr>
        <w:t>太仓星竞威武文化传媒有限公司</w:t>
      </w:r>
      <w:r>
        <w:rPr>
          <w:rFonts w:ascii="Times New Roman" w:cs="Times New Roman" w:eastAsia="Times New Roman" w:hAnsi="Times New Roman"/>
          <w:sz w:val="17"/>
          <w:szCs w:val="17"/>
          <w:color w:val="auto"/>
        </w:rPr>
        <w:t>), (i) Zhoushan Jingxi Internet Technology Co., Ltd. (</w:t>
      </w:r>
      <w:r>
        <w:rPr>
          <w:rFonts w:ascii="SimSun" w:cs="SimSun" w:eastAsia="SimSun" w:hAnsi="SimSun"/>
          <w:sz w:val="17"/>
          <w:szCs w:val="17"/>
          <w:color w:val="auto"/>
        </w:rPr>
        <w:t>舟山竞玺网络科技有限公司</w:t>
      </w:r>
      <w:r>
        <w:rPr>
          <w:rFonts w:ascii="Times New Roman" w:cs="Times New Roman" w:eastAsia="Times New Roman" w:hAnsi="Times New Roman"/>
          <w:sz w:val="17"/>
          <w:szCs w:val="17"/>
          <w:color w:val="auto"/>
        </w:rPr>
        <w:t xml:space="preserve">), (j) Zhoushan Xingjing Internet Technology Co., Ltd. ( </w:t>
      </w:r>
      <w:r>
        <w:rPr>
          <w:rFonts w:ascii="SimSun" w:cs="SimSun" w:eastAsia="SimSun" w:hAnsi="SimSun"/>
          <w:sz w:val="17"/>
          <w:szCs w:val="17"/>
          <w:color w:val="auto"/>
        </w:rPr>
        <w:t>舟山星竞网络科技有限公司</w:t>
      </w:r>
      <w:r>
        <w:rPr>
          <w:rFonts w:ascii="Times New Roman" w:cs="Times New Roman" w:eastAsia="Times New Roman" w:hAnsi="Times New Roman"/>
          <w:sz w:val="17"/>
          <w:szCs w:val="17"/>
          <w:color w:val="auto"/>
        </w:rPr>
        <w:t>),</w:t>
      </w:r>
    </w:p>
    <w:p>
      <w:pPr>
        <w:spacing w:after="0" w:line="18" w:lineRule="exact"/>
        <w:rPr>
          <w:sz w:val="20"/>
          <w:szCs w:val="20"/>
          <w:color w:val="auto"/>
        </w:rPr>
      </w:pPr>
    </w:p>
    <w:p>
      <w:pPr>
        <w:jc w:val="both"/>
        <w:ind w:left="2580" w:firstLine="8"/>
        <w:spacing w:after="0" w:line="241" w:lineRule="exact"/>
        <w:tabs>
          <w:tab w:leader="none" w:pos="284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Chengdu Xingjing Weiwu Culture Media Co., Ltd. (</w:t>
      </w:r>
      <w:r>
        <w:rPr>
          <w:rFonts w:ascii="SimSun" w:cs="SimSun" w:eastAsia="SimSun" w:hAnsi="SimSun"/>
          <w:sz w:val="18"/>
          <w:szCs w:val="18"/>
          <w:color w:val="auto"/>
        </w:rPr>
        <w:t>成都星竞威武文化传媒有限公司</w:t>
      </w:r>
      <w:r>
        <w:rPr>
          <w:rFonts w:ascii="Times New Roman" w:cs="Times New Roman" w:eastAsia="Times New Roman" w:hAnsi="Times New Roman"/>
          <w:sz w:val="18"/>
          <w:szCs w:val="18"/>
          <w:color w:val="auto"/>
        </w:rPr>
        <w:t>) and (l) Wuhan Yingciyuan Information Technology Co., Ltd. (</w:t>
      </w:r>
      <w:r>
        <w:rPr>
          <w:rFonts w:ascii="SimSun" w:cs="SimSun" w:eastAsia="SimSun" w:hAnsi="SimSun"/>
          <w:sz w:val="18"/>
          <w:szCs w:val="18"/>
          <w:color w:val="auto"/>
        </w:rPr>
        <w:t>武汉映次元信息科技有限公司</w:t>
      </w:r>
      <w:r>
        <w:rPr>
          <w:rFonts w:ascii="Times New Roman" w:cs="Times New Roman" w:eastAsia="Times New Roman" w:hAnsi="Times New Roman"/>
          <w:sz w:val="18"/>
          <w:szCs w:val="18"/>
          <w:color w:val="auto"/>
        </w:rPr>
        <w:t>); (m) Changsha Liyao Cultural Communication Co., Ltd (</w:t>
      </w:r>
      <w:r>
        <w:rPr>
          <w:rFonts w:ascii="SimSun" w:cs="SimSun" w:eastAsia="SimSun" w:hAnsi="SimSun"/>
          <w:sz w:val="18"/>
          <w:szCs w:val="18"/>
          <w:color w:val="auto"/>
        </w:rPr>
        <w:t>长沙鲤耀文化传播有限公司</w:t>
      </w:r>
      <w:r>
        <w:rPr>
          <w:rFonts w:ascii="Times New Roman" w:cs="Times New Roman" w:eastAsia="Times New Roman" w:hAnsi="Times New Roman"/>
          <w:sz w:val="18"/>
          <w:szCs w:val="18"/>
          <w:color w:val="auto"/>
        </w:rPr>
        <w:t>); (n) Xiamen Yingciyuan Education Technology Co., Ltd (</w:t>
      </w:r>
      <w:r>
        <w:rPr>
          <w:rFonts w:ascii="SimSun" w:cs="SimSun" w:eastAsia="SimSun" w:hAnsi="SimSun"/>
          <w:sz w:val="18"/>
          <w:szCs w:val="18"/>
          <w:color w:val="auto"/>
        </w:rPr>
        <w:t>厦门映次元教育科技有限公司</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type w:val="continuous"/>
        </w:sectPr>
      </w:pPr>
    </w:p>
    <w:bookmarkStart w:id="317" w:name="page318"/>
    <w:bookmarkEnd w:id="317"/>
    <w:tbl>
      <w:tblPr>
        <w:tblLayout w:type="fixed"/>
        <w:tblInd w:w="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Wuhan Douyu</w:t>
            </w:r>
            <w:r>
              <w:rPr>
                <w:rFonts w:ascii="Times New Roman" w:cs="Times New Roman" w:eastAsia="Times New Roman" w:hAnsi="Times New Roman"/>
                <w:sz w:val="18"/>
                <w:szCs w:val="18"/>
                <w:color w:val="auto"/>
              </w:rPr>
              <w:t>"</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Douyu Investment Limited, a company incorporated and existing under the laws of the British Virgin</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Islands (registered ID 2042529) with its registered office at AMS Trustees Limited, Sea Meadow House,</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Blackburne Highway, (P. O. Box 116), Road Town, Tortola, British Virgin Islands.</w:t>
            </w:r>
          </w:p>
        </w:tc>
      </w:tr>
      <w:tr>
        <w:trPr>
          <w:trHeight w:val="410"/>
        </w:trPr>
        <w:tc>
          <w:tcPr>
            <w:tcW w:w="440" w:type="dxa"/>
            <w:vAlign w:val="bottom"/>
          </w:tcPr>
          <w:p>
            <w:pPr>
              <w:spacing w:after="0"/>
              <w:rPr>
                <w:sz w:val="24"/>
                <w:szCs w:val="24"/>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Wuhan Douyu</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such persons the principal business of which involves components or activities which compete with the</w:t>
            </w:r>
          </w:p>
        </w:tc>
      </w:tr>
      <w:tr>
        <w:trPr>
          <w:trHeight w:val="234"/>
        </w:trPr>
        <w:tc>
          <w:tcPr>
            <w:tcW w:w="440" w:type="dxa"/>
            <w:vAlign w:val="bottom"/>
          </w:tcPr>
          <w:p>
            <w:pPr>
              <w:spacing w:after="0"/>
              <w:rPr>
                <w:sz w:val="20"/>
                <w:szCs w:val="20"/>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Competitors</w:t>
            </w:r>
            <w:r>
              <w:rPr>
                <w:rFonts w:ascii="Times New Roman" w:cs="Times New Roman" w:eastAsia="Times New Roman" w:hAnsi="Times New Roman"/>
                <w:sz w:val="18"/>
                <w:szCs w:val="18"/>
                <w:color w:val="auto"/>
              </w:rPr>
              <w:t>"</w:t>
            </w: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business of Wuhan Douyu and/or its Affiliates as of the date of these Articles, including (i) Bilibili</w:t>
            </w:r>
          </w:p>
        </w:tc>
      </w:tr>
      <w:tr>
        <w:trPr>
          <w:trHeight w:val="229"/>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80" w:type="dxa"/>
            <w:vAlign w:val="bottom"/>
          </w:tcPr>
          <w:p>
            <w:pPr>
              <w:ind w:left="280"/>
              <w:spacing w:after="0" w:line="219" w:lineRule="exact"/>
              <w:rPr>
                <w:sz w:val="20"/>
                <w:szCs w:val="20"/>
                <w:color w:val="auto"/>
              </w:rPr>
            </w:pPr>
            <w:r>
              <w:rPr>
                <w:rFonts w:ascii="Times New Roman" w:cs="Times New Roman" w:eastAsia="Times New Roman" w:hAnsi="Times New Roman"/>
                <w:sz w:val="18"/>
                <w:szCs w:val="18"/>
                <w:color w:val="auto"/>
              </w:rPr>
              <w:t xml:space="preserve">Inc., (ii) Inke Limited, (iii) </w:t>
            </w:r>
            <w:r>
              <w:rPr>
                <w:rFonts w:ascii="SimSun" w:cs="SimSun" w:eastAsia="SimSun" w:hAnsi="SimSun"/>
                <w:sz w:val="18"/>
                <w:szCs w:val="18"/>
                <w:color w:val="auto"/>
              </w:rPr>
              <w:t>北京快手科技有限公司</w:t>
            </w:r>
            <w:r>
              <w:rPr>
                <w:rFonts w:ascii="Times New Roman" w:cs="Times New Roman" w:eastAsia="Times New Roman" w:hAnsi="Times New Roman"/>
                <w:sz w:val="18"/>
                <w:szCs w:val="18"/>
                <w:color w:val="auto"/>
              </w:rPr>
              <w:t>, (iv) Baidu, Inc., (v) Alibaba Group Holding Limited,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 NetEase, and (vii) Huya Inc., as well as their respective Affiliates, but excluding, for the avoidance of</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doubt, Beijing Bytedance Technology Co., Ltd. and/or its Affiliates. For the avoidance of doubt, Wuhan</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Douyu’s current business as of the date of the Shareholders Agreement refers to interactive entertainment</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services such as live broadcast and video, as well as the upstream and downstream businesses related to these</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businesses that Wuhan Douyu will expand to in the future.</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1.3</w:t>
            </w: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Interpretation</w:t>
            </w:r>
          </w:p>
        </w:tc>
        <w:tc>
          <w:tcPr>
            <w:tcW w:w="828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0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Unless the contrary intention appears, in these Articles:</w:t>
            </w:r>
          </w:p>
        </w:tc>
      </w:tr>
      <w:tr>
        <w:trPr>
          <w:trHeight w:val="43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singular words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r>
      <w:tr>
        <w:trPr>
          <w:trHeight w:val="43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word of any gender includes the corresponding words of any other gender;</w:t>
            </w: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references to "persons" include natural persons, companies, partnerships, firms, joint ventures, associations or other bodies of persons</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(whether or not incorporated);</w:t>
            </w:r>
          </w:p>
        </w:tc>
      </w:tr>
      <w:tr>
        <w:trPr>
          <w:trHeight w:val="43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reference to a person includes that person’s successors and legal personal representatives;</w:t>
            </w: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"writing" and "written" includes any method of representing or reproducing words in a visible form, including in the form of an</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Electronic Record;</w:t>
            </w:r>
          </w:p>
        </w:tc>
        <w:tc>
          <w:tcPr>
            <w:tcW w:w="828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reference to "shall" shall be construed as imperative and a reference to "may" shall be construed as permissive;</w:t>
            </w:r>
          </w:p>
        </w:tc>
      </w:tr>
      <w:tr>
        <w:trPr>
          <w:trHeight w:val="648"/>
        </w:trPr>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927" w:right="339" w:bottom="1440" w:gutter="0" w:footer="0" w:header="0"/>
        </w:sectPr>
      </w:pPr>
    </w:p>
    <w:bookmarkStart w:id="318" w:name="page319"/>
    <w:bookmarkEnd w:id="318"/>
    <w:p>
      <w:pPr>
        <w:jc w:val="both"/>
        <w:ind w:left="1300" w:hanging="644"/>
        <w:spacing w:after="0" w:line="261"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determinations to be made by the Directors and all powers, authorities and discretions exercisable by the Directors under these Articles, the Directors may make those determinations and exercise those powers, authorities and discretions in their sole and absolute discretion, either generally or in a particular case, subject to any qualifications or limitations expressed in these Articles or imposed by law;</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the powers of the Directors shall include, when the context admits, the service providers or any other person to whom the Directors may, from time to time, delegate their powers;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in these Articles to mean both "and" as well as "or". The use of "and/or" in certain contexts in no respects qualifies or modifies the use of the terms "and" or "or" in others. "Or" shall not be interpreted to be exclusive, and "and" shall not be interpreted to require the conjunctive, in each case unless the context requires otherwise;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"includes",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not affect construction;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law includes regulations and instruments made under that law;</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law or a provision of law includes amendments, re-enactments, consolidations or replacements of that law or the provision;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means paid up as to the par value in respect of the issue of any Shares and includes credited as fully paid;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"US Dollars" or "USD" are to the lawful currency of United States, references to "RMB" are to the lawful currency of the PRC, references to "EUR" are to the lawful currency of the Euro zone, and references to "SEK" are to the lawful currency of the Kingdom of Sweden as at the date of these Articles;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Ordinary Resolution is expressed to be required for any purpose, a Special Resolution is also effective for that purpose;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are hereby excluded.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Shareholders Agreement</w:t>
      </w:r>
    </w:p>
    <w:p>
      <w:pPr>
        <w:spacing w:after="0" w:line="229" w:lineRule="exact"/>
        <w:rPr>
          <w:sz w:val="20"/>
          <w:szCs w:val="20"/>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where there is a reference to the Shareholders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time as there is no Shareholders Agreement in force, the relevant Article will be read as if it did not contain any reference to the Shareholders Agreement, and if it is not capable of being so read, will be disregarded in its entirety;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left="1960" w:hanging="656"/>
        <w:spacing w:after="0" w:line="255" w:lineRule="auto"/>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references to any matter being subject to the Shareholders Agreement or which turn upon whether a thing is done in accordance with the Shareholders Agreement or in contravention of the Shareholders Agreement (in each case, however expressed), if parties entitled to do so effectively waive the relevant provisions of the Shareholders Agreement (in accordance with the Shareholders Agreement) then the applicable Article will apply as if the Shareholders Agreement contained no relevant additional or inconsistent requirements or as if the relevant provisions of the Shareholders Agreement had in fact been complied with in accordance with their terms, as the case may be (provided that, if the waiver is given subject to conditions, those conditions are complied with in accordance with their terms);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Article contains provisions to the effect that if the Shareholders Agreement is in force, a matter will be governed by the applicable provisions of the Shareholders Agreement, but the Shareholders Agreement does not in fact contain provisions governing that matter, then the Article will be read as if it did not contain any reference to the Shareholders Agreement, and if it is not capable of being so read, will be disregarded in its entirety.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1.4(a), but despite any other Article, for so long as the Shareholders Agreement is in force, the Company may not (and no Member or Director may take any action to procure that the Company will) take any action that would contravene or be inconsistent with the Shareholders Agreement.</w:t>
      </w:r>
    </w:p>
    <w:p>
      <w:pPr>
        <w:spacing w:after="0" w:line="172"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business of the Company may be commenced as soon after incorporation as the Directors shall see fit.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connection with the formation and operation of the Company, including the expenses of registration and any expenses relating to the offer of, subscription for, or issuance of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Expenses may be amortised over such period as the Directors may determine.</w:t>
      </w:r>
    </w:p>
    <w:p>
      <w:pPr>
        <w:spacing w:after="0" w:line="221"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 AND OTHER OFFICES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Subject to the provisions of the Companies Act, the Company may by resolution of the Directors change the location of its Registered Office.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Directors, in addition to the Registered Office, may in their discretion establish and maintain such other offices, places of business and agencies whether within or outside of the Cayman Islands.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PROVIDERS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appoint any person to act as a service provider to the Company and may delegate to any such service provider any of the functions, duties, powers and discretions available to them as Directors, upon such terms and conditions (including as to the remuneration payable by the Company) and with such powers of sub-delegation, but subject to such restrictions, as they think fit.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Power of Directors to issue Shares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Subject to the applicable provisions, if any, in the Companies Act, these Articles (including Article 5.6), the Memorandum, any resolution that may be passed by the Company in general meeting and subject to any rights attached to any existing Shares, the Directors may allot, issue, grant options over or otherwise deal with or dispose of Shares with or without preferred, deferred, or other rights or restrictions, whether as regards to Dividend, voting, return of capital or otherwise and to such persons, at such times and on such other terms as they think fit provided that, for so long as the Shareholders Agreement is in force, the Directors may only do any of the foregoing in accordance with any relevant provisions of the Shareholders Agreement (if any), and may not do any of the foregoing if to do so would be in contravention of, or be inconsistent with, the Shareholders Agreement.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Issue of Shares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any Requisite Approvals, the Directors may issue Shares in different classes and may establish internal accounts within the Company to permit the assets and liabilities of a class of Shares to be segregated from the assets and liabilities of any other class of Shares as an internal accounting matter.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Payment of commission or brokerage</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the Company may pay a commission or brokerage in connection with any issue of Shares. The Company may pay the commission or brokerage in cash or by issuing Shares credited as fully paid or by a combination of both.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No Shares to bearer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not issue Shares to bearer.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Fractional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Fractional Shares may be issued and multiple fractions of the same class may be aggregated.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color w:val="auto"/>
        </w:rPr>
        <w:t>Pre-emptive rights of Preferred Shareholders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Requisite Approvals, Article 5.8, and compliance with all Applicable Laws, if the Company proposes to issue new Securities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to any person, then the Company shall first comply with the provisions of these Articles 5.6 to 5.8 (inclusive).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1" w:name="page322"/>
    <w:bookmarkEnd w:id="321"/>
    <w:p>
      <w:pPr>
        <w:ind w:left="644" w:hanging="644"/>
        <w:spacing w:after="0" w:line="282" w:lineRule="auto"/>
        <w:tabs>
          <w:tab w:leader="none" w:pos="6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less than fifteen (15) Business Days prior to the proposed date of issuing any New Securities, serve a notice ("</w:t>
      </w:r>
      <w:r>
        <w:rPr>
          <w:rFonts w:ascii="Times New Roman" w:cs="Times New Roman" w:eastAsia="Times New Roman" w:hAnsi="Times New Roman"/>
          <w:sz w:val="18"/>
          <w:szCs w:val="18"/>
          <w:b w:val="1"/>
          <w:bCs w:val="1"/>
          <w:color w:val="auto"/>
        </w:rPr>
        <w:t>Issue Notice</w:t>
      </w:r>
      <w:r>
        <w:rPr>
          <w:rFonts w:ascii="Times New Roman" w:cs="Times New Roman" w:eastAsia="Times New Roman" w:hAnsi="Times New Roman"/>
          <w:sz w:val="18"/>
          <w:szCs w:val="18"/>
          <w:color w:val="auto"/>
        </w:rPr>
        <w:t>") on each Preferred Shareholder (but not the Ordinary Shareholders, for the avoidance of doubt) specifying:</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terms of the issue of New Securities, including the issue price (or the means by which the price will be calculated);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New Securities to be issued;</w:t>
      </w:r>
    </w:p>
    <w:p>
      <w:pPr>
        <w:spacing w:after="0" w:line="221" w:lineRule="exact"/>
        <w:rPr>
          <w:rFonts w:ascii="Times New Roman" w:cs="Times New Roman" w:eastAsia="Times New Roman" w:hAnsi="Times New Roman"/>
          <w:sz w:val="18"/>
          <w:szCs w:val="18"/>
          <w:color w:val="auto"/>
        </w:rPr>
      </w:pPr>
    </w:p>
    <w:p>
      <w:pPr>
        <w:ind w:left="1304" w:hanging="656"/>
        <w:spacing w:after="0" w:line="286" w:lineRule="auto"/>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Securities for which the Preferred Shareholder is entitled to subscribe based on its then Equity Ratio ("</w:t>
      </w:r>
      <w:r>
        <w:rPr>
          <w:rFonts w:ascii="Times New Roman" w:cs="Times New Roman" w:eastAsia="Times New Roman" w:hAnsi="Times New Roman"/>
          <w:sz w:val="18"/>
          <w:szCs w:val="18"/>
          <w:b w:val="1"/>
          <w:bCs w:val="1"/>
          <w:color w:val="auto"/>
        </w:rPr>
        <w:t>Pro-Rata Share</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allocation of New Securities shall take place in accordance with these Articles and the Shareholders Agreement.</w:t>
      </w:r>
    </w:p>
    <w:p>
      <w:pPr>
        <w:spacing w:after="0" w:line="221"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Business Days after the date of the Issue Notice ("</w:t>
      </w:r>
      <w:r>
        <w:rPr>
          <w:rFonts w:ascii="Times New Roman" w:cs="Times New Roman" w:eastAsia="Times New Roman" w:hAnsi="Times New Roman"/>
          <w:sz w:val="18"/>
          <w:szCs w:val="18"/>
          <w:b w:val="1"/>
          <w:bCs w:val="1"/>
          <w:color w:val="auto"/>
        </w:rPr>
        <w:t>Subscription Period</w:t>
      </w:r>
      <w:r>
        <w:rPr>
          <w:rFonts w:ascii="Times New Roman" w:cs="Times New Roman" w:eastAsia="Times New Roman" w:hAnsi="Times New Roman"/>
          <w:sz w:val="18"/>
          <w:szCs w:val="18"/>
          <w:color w:val="auto"/>
        </w:rPr>
        <w:t>"), a Preferred Shareholder may exercise its right to subscribe (or to nominate its Affiliates to subscribe, provided that such Affiliate is not a Sanctioned Person or a Competitor) for any number of New Securities up to such Preferred Shareholder's Pro-Rata Share by way of written notice to the Company. If a Preferred Shareholder has not given notice before the expiry of the Subscription Period, then it shall have no further right to subscribe for the New Securities.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Shareholder fails or declines to exercise its pre-emptive right in full in accordance with Article 5.6(c) above, on the next Business Day following the expiry of the Subscription Period, the Company shall give written notice to each Preferred Shareholder who exercised its pre-emptive rights in full (each, an "</w:t>
      </w:r>
      <w:r>
        <w:rPr>
          <w:rFonts w:ascii="Times New Roman" w:cs="Times New Roman" w:eastAsia="Times New Roman" w:hAnsi="Times New Roman"/>
          <w:sz w:val="18"/>
          <w:szCs w:val="18"/>
          <w:b w:val="1"/>
          <w:bCs w:val="1"/>
          <w:color w:val="auto"/>
        </w:rPr>
        <w:t>Oversubscription Shareholder</w:t>
      </w:r>
      <w:r>
        <w:rPr>
          <w:rFonts w:ascii="Times New Roman" w:cs="Times New Roman" w:eastAsia="Times New Roman" w:hAnsi="Times New Roman"/>
          <w:sz w:val="18"/>
          <w:szCs w:val="18"/>
          <w:color w:val="auto"/>
        </w:rPr>
        <w:t>") in writing of any New Securities not being subscribed by the other Preferred Shareholder(s) pursuant to Article 5.6(c) ("</w:t>
      </w:r>
      <w:r>
        <w:rPr>
          <w:rFonts w:ascii="Times New Roman" w:cs="Times New Roman" w:eastAsia="Times New Roman" w:hAnsi="Times New Roman"/>
          <w:sz w:val="18"/>
          <w:szCs w:val="18"/>
          <w:b w:val="1"/>
          <w:bCs w:val="1"/>
          <w:color w:val="auto"/>
        </w:rPr>
        <w:t>Remaining New Securities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receipt of the written notice issued by the Company pursuant to Article 5.6(d), each Oversubscription Shareholder may exercise its right to subscribe for the Remaining New Securities by giving written notice to the Company of the number of Remaining New Securities for which it wishes to subscribe.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2" w:name="page323"/>
    <w:bookmarkEnd w:id="3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color w:val="auto"/>
        </w:rPr>
        <w:t>Allocation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determination of the allocation of the New Securities pursuant to Articles 5.6(b) to 5.6(e), the Company shall deliver to each Preferred Shareholder a written notice setting out the number of New Securities that each Preferred Shareholder has been allocated for subscription and the relevant subscription amount ("</w:t>
      </w:r>
      <w:r>
        <w:rPr>
          <w:rFonts w:ascii="Times New Roman" w:cs="Times New Roman" w:eastAsia="Times New Roman" w:hAnsi="Times New Roman"/>
          <w:sz w:val="18"/>
          <w:szCs w:val="18"/>
          <w:b w:val="1"/>
          <w:bCs w:val="1"/>
          <w:color w:val="auto"/>
        </w:rPr>
        <w:t>Allocation Notice</w:t>
      </w:r>
      <w:r>
        <w:rPr>
          <w:rFonts w:ascii="Times New Roman" w:cs="Times New Roman" w:eastAsia="Times New Roman" w:hAnsi="Times New Roman"/>
          <w:sz w:val="18"/>
          <w:szCs w:val="18"/>
          <w:color w:val="auto"/>
        </w:rPr>
        <w:t>"), then: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Shareholder shall pay to the Company the subscription monies for the New Securities by the later of:</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set out in the Allocation Notice;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mandatory Authorizations have been obtained by the Company for the issuance of the New Securities (or the applicable waiting periods for those approvals having expired);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receipt of the subscription monies, the Company shall issue share certificates and procure the register of members to be updated for the New Securities.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Shareholder (including any Oversubscription Shareholder) declines or fails to complete the exercise of its pre-emptive rights in full within the respective time periods specified in Article 5.6(c) and 5.6(e), the rights of such Preferred Shareholder to subscribe for such New Securities shall be extinguished and the Board shall have the discretion to allot and issue such New Securities (to which such Preferred Shareholder has declined or failed to complete the exercise of its pre-emptive rights under Article 5.6(c) and 5.6(e)) to Qualified Third Parties on such terms and conditions to be decided by the Board provided that such issuance of the New Securities to such Qualified Third Party shall be on the same or higher price and on the same terms and conditions as set out in the Issue Notice. Such Qualified Third Party must also agree in writing to be bound by the terms and conditions of the Shareholders Agreement as a Member by validly executing a Deed of Adherence.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has not issued such New Securities within one hundred and twenty days (120) days of the Issue Notice, then the Company shall not thereafter issue or sell any New Securities without again first offering such New Securities to the Preferred Shareholders pursuant to Articles 5.6 to 5.8 (inclusive).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pre-emptive rights set out in Articles 5.6 and 5.7 apply in respect of any issuance of New Securities, whether to existing Members or to any other person.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9" w:lineRule="exact"/>
        <w:rPr>
          <w:sz w:val="20"/>
          <w:szCs w:val="20"/>
          <w:color w:val="auto"/>
        </w:rPr>
      </w:pPr>
    </w:p>
    <w:p>
      <w:pPr>
        <w:ind w:left="1300" w:hanging="644"/>
        <w:spacing w:after="0"/>
        <w:tabs>
          <w:tab w:leader="none" w:pos="13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5.6 and 5.7 do not apply to an issuance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Shares;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are approved by way of unanimous approval by all Members to be issued other than in accordance with Articles 5.6 and 5.7.</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granted in order for the Company to comply with its obligations under the Articles or the Shareholders Agreement (including as required under Applicable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3" w:name="page324"/>
    <w:bookmarkEnd w:id="323"/>
    <w:p>
      <w:pPr>
        <w:ind w:left="1952" w:hanging="656"/>
        <w:spacing w:after="0" w:line="282" w:lineRule="auto"/>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constituting all or part of the consideration for either a bona-fide acquisition of assets or business by the Group duly approved by way of the Requisite Approvals;</w:t>
      </w:r>
    </w:p>
    <w:p>
      <w:pPr>
        <w:spacing w:after="0" w:line="161"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to officers, directors, employees and consultants of the Company pursuant to the ESOP or other employee ownership plan or similar arrangements approved in accordance with the Shareholders Agreement;</w:t>
      </w:r>
    </w:p>
    <w:p>
      <w:pPr>
        <w:spacing w:after="0" w:line="161"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in connection with any share split, subdivision, consolidation, share dividend, reclassification or other similar event duly approved by the Company in accordance with the Shareholders Agreement and these Articles; and</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accordance with Clause 15 of the Shareholders Agreement; and</w:t>
      </w:r>
    </w:p>
    <w:p>
      <w:pPr>
        <w:spacing w:after="0" w:line="225"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connection with the implementation of the Restructuring Plan, subject always to the Requisite Approvals (which consent from the relevant Directors and/or Shareholders shall not be unreasonably withheld or delayed); and</w:t>
      </w:r>
    </w:p>
    <w:p>
      <w:pPr>
        <w:spacing w:after="0" w:line="161" w:lineRule="exact"/>
        <w:rPr>
          <w:rFonts w:ascii="Times New Roman" w:cs="Times New Roman" w:eastAsia="Times New Roman" w:hAnsi="Times New Roman"/>
          <w:sz w:val="18"/>
          <w:szCs w:val="18"/>
          <w:color w:val="auto"/>
        </w:rPr>
      </w:pPr>
    </w:p>
    <w:p>
      <w:pPr>
        <w:jc w:val="both"/>
        <w:ind w:left="1952" w:hanging="656"/>
        <w:spacing w:after="0" w:line="261" w:lineRule="auto"/>
        <w:tabs>
          <w:tab w:leader="none" w:pos="1952"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connection with the proposed acquisition of Blonde INC AB (or any of its Affiliates) or Nmbrs Production AB (or any of its Affiliates) by Ninjas in Pyjamas Gaming AB (for the avoidance of doubt, the Equity Ratio of the VE Shareholders shall not be diluted due to the implementation of such acquisition), subject always to the Requisite Approvals (which consent from the relevant Directors and/or Shareholders shall not be unreasonably withheld or delayed).</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Preferred Shareholders under Articles 5.6 and 5.7 shall terminate upon the consummation of the Qualified IPO.</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ANTI-DILUTION ADJUSTMENT</w:t>
      </w:r>
    </w:p>
    <w:p>
      <w:pPr>
        <w:spacing w:after="0" w:line="229" w:lineRule="exact"/>
        <w:rPr>
          <w:sz w:val="20"/>
          <w:szCs w:val="20"/>
          <w:color w:val="auto"/>
        </w:rPr>
      </w:pPr>
    </w:p>
    <w:p>
      <w:pPr>
        <w:jc w:val="both"/>
        <w:ind w:left="652" w:hanging="647"/>
        <w:spacing w:after="0" w:line="257"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Unless otherwise approved in advance by (a) such Class A Preferred Shareholder(s) holding not less than two-thirds (2/3) of the total issued Class A Preferred Shares and (b) such Class B-1 Preferred Shareholders holding not less than two-thirds (2/3) of the total issued Class B-1 Preferred Shares, the Company shall not issue or sell any New Securities (whether to an existing Shareholder or a Qualified Third Party) either</w:t>
      </w:r>
    </w:p>
    <w:p>
      <w:pPr>
        <w:spacing w:after="0" w:line="1" w:lineRule="exact"/>
        <w:rPr>
          <w:sz w:val="20"/>
          <w:szCs w:val="20"/>
          <w:color w:val="auto"/>
        </w:rPr>
      </w:pPr>
    </w:p>
    <w:p>
      <w:pPr>
        <w:jc w:val="both"/>
        <w:ind w:left="652" w:hanging="4"/>
        <w:spacing w:after="0" w:line="255" w:lineRule="auto"/>
        <w:tabs>
          <w:tab w:leader="none" w:pos="87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consideration or (ii) for a consideration per Share lower than the Initial Subscription Price with respect to each Preferred Share of any Preferred Shareholder (the "</w:t>
      </w:r>
      <w:r>
        <w:rPr>
          <w:rFonts w:ascii="Times New Roman" w:cs="Times New Roman" w:eastAsia="Times New Roman" w:hAnsi="Times New Roman"/>
          <w:sz w:val="18"/>
          <w:szCs w:val="18"/>
          <w:b w:val="1"/>
          <w:bCs w:val="1"/>
          <w:color w:val="auto"/>
        </w:rPr>
        <w:t>Subscription Unit Price</w:t>
      </w:r>
      <w:r>
        <w:rPr>
          <w:rFonts w:ascii="Times New Roman" w:cs="Times New Roman" w:eastAsia="Times New Roman" w:hAnsi="Times New Roman"/>
          <w:sz w:val="18"/>
          <w:szCs w:val="18"/>
          <w:color w:val="auto"/>
        </w:rPr>
        <w:t>"), and no New Securities shall be issued for a consideration which is less than the nominal value per Share.</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24" w:name="page325"/>
    <w:bookmarkEnd w:id="324"/>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In the event that, in any subsequent equity financing, the Company issues New Securities at a price less than the Subscription Unit Price (the calculation formula as set forth in Article 6.3 below) ("</w:t>
      </w:r>
      <w:r>
        <w:rPr>
          <w:rFonts w:ascii="Times New Roman" w:cs="Times New Roman" w:eastAsia="Times New Roman" w:hAnsi="Times New Roman"/>
          <w:sz w:val="18"/>
          <w:szCs w:val="18"/>
          <w:b w:val="1"/>
          <w:bCs w:val="1"/>
          <w:color w:val="auto"/>
        </w:rPr>
        <w:t>Lower Unit Price</w:t>
      </w:r>
      <w:r>
        <w:rPr>
          <w:rFonts w:ascii="Times New Roman" w:cs="Times New Roman" w:eastAsia="Times New Roman" w:hAnsi="Times New Roman"/>
          <w:sz w:val="18"/>
          <w:szCs w:val="18"/>
          <w:color w:val="auto"/>
        </w:rPr>
        <w:t>"; except in the case of New Securities issued in connection with the implementation of the ESOP or any anti-dilution adjustment), the Preferred Shareholders (the "</w:t>
      </w:r>
      <w:r>
        <w:rPr>
          <w:rFonts w:ascii="Times New Roman" w:cs="Times New Roman" w:eastAsia="Times New Roman" w:hAnsi="Times New Roman"/>
          <w:sz w:val="18"/>
          <w:szCs w:val="18"/>
          <w:b w:val="1"/>
          <w:bCs w:val="1"/>
          <w:color w:val="auto"/>
        </w:rPr>
        <w:t>Anti-Dilution Right Holders</w:t>
      </w:r>
      <w:r>
        <w:rPr>
          <w:rFonts w:ascii="Times New Roman" w:cs="Times New Roman" w:eastAsia="Times New Roman" w:hAnsi="Times New Roman"/>
          <w:sz w:val="18"/>
          <w:szCs w:val="18"/>
          <w:color w:val="auto"/>
        </w:rPr>
        <w:t>") shall have the right to request the Company and the VE Founders to exercise an anti-dilution adjustment as set forth in this Article 6 ("</w:t>
      </w:r>
      <w:r>
        <w:rPr>
          <w:rFonts w:ascii="Times New Roman" w:cs="Times New Roman" w:eastAsia="Times New Roman" w:hAnsi="Times New Roman"/>
          <w:sz w:val="18"/>
          <w:szCs w:val="18"/>
          <w:b w:val="1"/>
          <w:bCs w:val="1"/>
          <w:color w:val="auto"/>
        </w:rPr>
        <w:t>Anti-Dilution Claim</w:t>
      </w:r>
      <w:r>
        <w:rPr>
          <w:rFonts w:ascii="Times New Roman" w:cs="Times New Roman" w:eastAsia="Times New Roman" w:hAnsi="Times New Roman"/>
          <w:sz w:val="18"/>
          <w:szCs w:val="18"/>
          <w:color w:val="auto"/>
        </w:rPr>
        <w:t>"). For the avoidance of doubt, the VE Founder Parties are not Anti-Dilution Rights Holders and shall not have the right to request anti-dilution adjustments provided herein.</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The calculation formula of the Subscription Unit Price.</w:t>
      </w:r>
    </w:p>
    <w:p>
      <w:pPr>
        <w:spacing w:after="0" w:line="225" w:lineRule="exact"/>
        <w:rPr>
          <w:sz w:val="20"/>
          <w:szCs w:val="20"/>
          <w:color w:val="auto"/>
        </w:rPr>
      </w:pPr>
    </w:p>
    <w:p>
      <w:pPr>
        <w:ind w:left="1300" w:hanging="644"/>
        <w:spacing w:after="0"/>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formula of the Subscription Unit Price for each Preferred Share and how it is recognized is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formula of the anti-dilution adjustment and how it is recognized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-736600</wp:posOffset>
            </wp:positionV>
            <wp:extent cx="3429000" cy="44577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00" cy="445770"/>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Anti-Dilution Adjustment Amount=Shares Due-Preferred Shares Held at That Time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-119380</wp:posOffset>
            </wp:positionV>
            <wp:extent cx="3429000" cy="24003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00" cy="240030"/>
                    </a:xfrm>
                    <a:prstGeom prst="rect">
                      <a:avLst/>
                    </a:prstGeom>
                    <a:noFill/>
                  </pic:spPr>
                </pic:pic>
              </a:graphicData>
            </a:graphic>
          </wp:anchor>
        </w:drawing>
      </w:r>
    </w:p>
    <w:p>
      <w:pPr>
        <w:spacing w:after="0" w:line="367" w:lineRule="exact"/>
        <w:rPr>
          <w:sz w:val="20"/>
          <w:szCs w:val="20"/>
          <w:color w:val="auto"/>
        </w:rPr>
      </w:pPr>
    </w:p>
    <w:p>
      <w:pPr>
        <w:ind w:left="1960" w:hanging="656"/>
        <w:spacing w:after="0" w:line="282" w:lineRule="auto"/>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Held at That Time" means the amount of Preferred Shares held by an Anti-Dilution Right Holder prior to the anti-dilution adjustment to such Anti-Dilution Right Holder in accordance with this Article 6.</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Each Anti-Dilution Right Holder shall have the right to request an Anti-Dilution Claim in one of the following methods:</w:t>
      </w:r>
    </w:p>
    <w:p>
      <w:pPr>
        <w:spacing w:after="0" w:line="225" w:lineRule="exact"/>
        <w:rPr>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I: The Company issues New Securities at the lowest price permitted by law.</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New Securities of the same amount as the "Anti-Dilution Adjustment Amount" (calculation formula as set forth in Article 6.3 above) and of the same class of Shares held by the Anti-Dilution Right Holder, which shall be subscribed for by the Anti-Dilution Right Holder at the lowest unit price or par value permitted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both"/>
        <w:ind w:left="1960" w:hanging="656"/>
        <w:spacing w:after="0" w:line="266" w:lineRule="auto"/>
        <w:tabs>
          <w:tab w:leader="none" w:pos="19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paid by such Anti-Dilution Right Holder to the Company for the subscription of such New Securities shall be borne by the Company, which may include a directed Dividend from the Company to such Anti-Dilution Right Holder or a bonus rights issue, subject to Applicable Law.</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II: Transfer by VE Founders.</w:t>
      </w:r>
    </w:p>
    <w:p>
      <w:pPr>
        <w:spacing w:after="0" w:line="225" w:lineRule="exact"/>
        <w:rPr>
          <w:rFonts w:ascii="Times New Roman" w:cs="Times New Roman" w:eastAsia="Times New Roman" w:hAnsi="Times New Roman"/>
          <w:sz w:val="18"/>
          <w:szCs w:val="18"/>
          <w:color w:val="auto"/>
        </w:rPr>
      </w:pPr>
    </w:p>
    <w:p>
      <w:pPr>
        <w:jc w:val="both"/>
        <w:ind w:left="13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Founders shall transfer to such Anti-Dilution Right Holder New Securities of the same Class of Shares held by such Anti-Dilution Right Holder in the same amount as the "Anti-Dilution Adjustment Amount" (calculation formula as set forth in Article 6.3 above) at a nominal price of one (1) RMB (or such other price as may be approved by such Anti-Dilution Right Holder) in proportion to their relative shareholding percentage.</w:t>
      </w:r>
    </w:p>
    <w:p>
      <w:pPr>
        <w:spacing w:after="0" w:line="18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For the avoidance of doubt, notwithstanding anything to the contrary in these Articles, except for the consummation of the Qualified IPO or otherwise agreed to in writing by the NIP Shareholders, in no event shall the Equity Ratio of the NIP Shareholders be diluted to lower than 40% (if there is no issuance of any Earn-Out Shares in accordance with Clause 15 of the Shareholders Agreement) or 45% (if there is an issuance of the Earn-Out Shares in accordance with Clause 15 of the Shareholders Agreement) due to the issuance or sale of any New Securities by the Company (for the avoidance of doubt, including the issuance of sale of any New Securities by the Company in relation to the implementation of the Restructuring Plan, but excluding the consummation of the Qualified IPO). Notwithstanding anything to the contrary in these Articles, if the issuance or sale of any New Securities by the Company in accordance with this Article 6 will result in the Equity Ratio of the NIP Shareholders (after taking into account of the performance ratchet adjustment in accordance of Clause 15 of the Shareholders Agreement and/or consummation of the Qualified IPO) falling below 40% (if there is no issuance of any Earn-Out Shares in accordance with Clause 15 of the Shareholders Agreement) or 45% (if there is an issuance of the Earn-Out Shares in accordance with Clause 15 of the Shareholders Agreement), then unless otherwise agreed in writing by the NIP Shareholders following good faith discussion among the Members, the Company shall concurrently issue additional New Securities to the NIP Shareholders either (i) without consideration (i.e. as a fully paid bonus New Securities or otherwise in accordance with Applicable Law) or (ii) at nominal value per Share if the Company is unable to meet the requirements under Applicable Law to issue New Securities to the NIP Shareholders without consideration (i.e. as a fully paid bonus New Securities or otherwise in accordance with Applicable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so that the Equity Ratio of the NIP Shareholders after such issuance of New Securities will remain at 40% or 45%, as the case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6" w:name="page327"/>
    <w:bookmarkEnd w:id="326"/>
    <w:p>
      <w:pPr>
        <w:ind w:left="660" w:hanging="652"/>
        <w:spacing w:after="0"/>
        <w:tabs>
          <w:tab w:leader="none" w:pos="6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RIGHTS OF PREFERRED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holders of Preferred Shares shall have conversion rights as follows:</w:t>
      </w:r>
    </w:p>
    <w:p>
      <w:pPr>
        <w:spacing w:after="0" w:line="221" w:lineRule="exact"/>
        <w:rPr>
          <w:sz w:val="20"/>
          <w:szCs w:val="20"/>
          <w:color w:val="auto"/>
        </w:rPr>
      </w:pPr>
    </w:p>
    <w:p>
      <w:pPr>
        <w:ind w:left="1300" w:hanging="644"/>
        <w:spacing w:after="0"/>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Trigger Event</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the IPO Effective Time, each Preferred Share shall without any further act of the Company or the Preferred Shareholder of any Preferred Shares automatically convert into such number of fully paid and non-assessable Ordinary Shares as is determined by dividing the Initial Subscription Price per Share for such Preferred Shares by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in effect for such Preferred Shares at the time of conversion. The Conversion Price per Share for Preferred Shares shall initially be the relevant Initial Subscription Price for each of the Preferred Shares. The Conversion Price for Preferred Shares shall be subject to adjustment as provided below.</w:t>
      </w:r>
    </w:p>
    <w:p>
      <w:pPr>
        <w:spacing w:after="0" w:line="187"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IPO is not consummated or concluded within five (5) Business Days of the IPO Effective Time or such other date as the Board may in its absolute discretion resolve, the foregoing automatic conversion will be deemed to have not occurred.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Fractional Shares. </w:t>
      </w:r>
      <w:r>
        <w:rPr>
          <w:rFonts w:ascii="Times New Roman" w:cs="Times New Roman" w:eastAsia="Times New Roman" w:hAnsi="Times New Roman"/>
          <w:sz w:val="18"/>
          <w:szCs w:val="18"/>
          <w:color w:val="auto"/>
        </w:rPr>
        <w:t>No fractions of Ordinary Shares shall be issued upon the conversion of Preferred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Mechanics of Conversion.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Procedural Requirements in the event that Preferred Shares have been issued in Certificated Form. </w:t>
      </w:r>
      <w:r>
        <w:rPr>
          <w:rFonts w:ascii="Times New Roman" w:cs="Times New Roman" w:eastAsia="Times New Roman" w:hAnsi="Times New Roman"/>
          <w:sz w:val="18"/>
          <w:szCs w:val="18"/>
          <w:color w:val="auto"/>
        </w:rPr>
        <w:t>All holders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Preferred Shares to be converted to Ordinary Shares shall be sent written notice of the conversion and the place designated for conversion of all such Preferred Shares pursuant to this Article 7. Upon receipt of such notice, each holder of such Preferred Shares being converted pursuant to this Article 7 shall surrender his, her or its certificate or certificates for all such Preferred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certificates surrendered for conversion shall be endorsed or accompanied by written instrument or instruments of transfer, in form satisfactory to the Company, duly executed by the registered holder or by his, her or its attorney duly authorised in writing. As soon as practicable after the IPO Effective Time and the surrender of the certificate or certificates (or lost certificate affidavit and agreement) for Preferred Shares converted pursuant to this Article 7 the Company shall issue and deliver to such holder, or to his, her or its nominees, a certificate or certificates for the number of full Ordinary Shares issuable on such conversion in accordance with the provisions hereof. Notwithstanding the foregoing, any failure to deliver the foregoing notice or to surrender the certificate or certificates of Preferred Shares shall not prevent their automatic conversion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7" w:name="page328"/>
    <w:bookmarkEnd w:id="327"/>
    <w:p>
      <w:pPr>
        <w:ind w:left="840" w:hanging="656"/>
        <w:spacing w:after="0" w:line="286"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Requirements in the event that Preferred Shares remain in Uncertificated Form. </w:t>
      </w:r>
      <w:r>
        <w:rPr>
          <w:rFonts w:ascii="Times New Roman" w:cs="Times New Roman" w:eastAsia="Times New Roman" w:hAnsi="Times New Roman"/>
          <w:sz w:val="18"/>
          <w:szCs w:val="18"/>
          <w:color w:val="auto"/>
        </w:rPr>
        <w:t>All holders of record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be converted to Ordinary Shares shall be sent written notice of the conversion and the anticipated IPO Effective Time.</w:t>
      </w:r>
    </w:p>
    <w:p>
      <w:pPr>
        <w:spacing w:after="0" w:line="158"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Preferred Shares converted pursuant to this Article 7 including the rights, if any, to receive notices and vote (other than as a holder of Ordinary Shares), will terminate at the IPO Effective Time (notwithstanding any failure of the holder or holders thereof to surrender the certificates, if any, at or prior to such time), except the right of the holders thereof (i) to receive the payment of any declared but unpaid dividends on the Preferred Shares converted and (ii) upon surrender of their certificate or certificates (or lost certificate affidavit and agreement) therefor, to receive the appropriate number of Ordinary Shares (certificated or otherwise, as appropriate).</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Preferred Shares converted to Ordinary Shares pursuant to this Article 7 may not be reissued by the Company. Converted Preferred Shares shall be cancelled and may not be reissued as shares of such series, and the Company may thereafter take such appropriate action (without the need for Member action) as may be necessary to reduce the authorised number of Preferred Shares accordingly.</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Reservation of Shares. </w:t>
      </w:r>
      <w:r>
        <w:rPr>
          <w:rFonts w:ascii="Times New Roman" w:cs="Times New Roman" w:eastAsia="Times New Roman" w:hAnsi="Times New Roman"/>
          <w:sz w:val="18"/>
          <w:szCs w:val="18"/>
          <w:color w:val="auto"/>
        </w:rPr>
        <w:t>The Company shall at all times when Preferred Shares are issued, reserve and keep available out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authorised but unissued Ordinary Shares, for the purpose of effecting the conversion of Preferred Shares, such number of its duly authorised Ordinary Shares as shall from time to time be sufficient to effect the conversion of all outstanding Preferred Shares. If at any time the number of authorised but unissued Ordinary Shares shall not be sufficient to effect the conversion of all then outstanding Preferred Shares, the Company and its Members shall take such corporate action as may be necessary to increase its authorised but unissued Ordinary Shares to such number of Shares as shall be sufficient for such purposes. Before taking any action which would cause an adjustment reducing the Conversion Price for the Preferred Shares below the then par value of the Ordinary Shares issuable upon conversion of such Preferred Shares, the Company and its Members will take any corporate action which may, in the opinion of its counsel, be necessary in order that the Company may validly and legally issue fully paid and non-assessable Ordinary Shares at such adjusted Conversion Price.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28" w:name="page329"/>
    <w:bookmarkEnd w:id="328"/>
    <w:p>
      <w:pPr>
        <w:jc w:val="both"/>
        <w:ind w:left="1304" w:hanging="656"/>
        <w:spacing w:after="0" w:line="257" w:lineRule="auto"/>
        <w:tabs>
          <w:tab w:leader="none" w:pos="13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The Company shall pay any and all issuance and other similar taxes that may be payable in respect of any issuance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Ordinary Shares upon conversion of Preferred Shares pursuant to Article 7. The Company shall not, however, be required to pay any tax which may be payable in respect of any transfer involved in the issuance and delivery of Ordinary Shares in a name other than that in which the Preferred Shares so converted were registered, and no such issuance or delivery shall be made unless and until the person or entity requesting such issuance has paid to the Company the amount of any such tax or has established, to the satisfaction of the Company, that such tax has been paid.</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Price Adjustments for Dilutive Issuances.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Definitions. </w:t>
      </w:r>
      <w:r>
        <w:rPr>
          <w:rFonts w:ascii="Times New Roman" w:cs="Times New Roman" w:eastAsia="Times New Roman" w:hAnsi="Times New Roman"/>
          <w:sz w:val="18"/>
          <w:szCs w:val="18"/>
          <w:color w:val="auto"/>
        </w:rPr>
        <w:t>For purposes of this Article 7, the following definitions shall apply:</w:t>
      </w:r>
    </w:p>
    <w:p>
      <w:pPr>
        <w:spacing w:after="0" w:line="225" w:lineRule="exact"/>
        <w:rPr>
          <w:rFonts w:ascii="Times New Roman" w:cs="Times New Roman" w:eastAsia="Times New Roman" w:hAnsi="Times New Roman"/>
          <w:sz w:val="18"/>
          <w:szCs w:val="18"/>
          <w:color w:val="auto"/>
        </w:rPr>
      </w:pPr>
    </w:p>
    <w:p>
      <w:pPr>
        <w:ind w:left="1944" w:hanging="648"/>
        <w:spacing w:after="0" w:line="286" w:lineRule="auto"/>
        <w:tabs>
          <w:tab w:leader="none" w:pos="194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Ordinary Shares or Convertible Securities.</w:t>
      </w:r>
    </w:p>
    <w:p>
      <w:pPr>
        <w:spacing w:after="0" w:line="154"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Issuance Date</w:t>
      </w:r>
      <w:r>
        <w:rPr>
          <w:rFonts w:ascii="Times New Roman" w:cs="Times New Roman" w:eastAsia="Times New Roman" w:hAnsi="Times New Roman"/>
          <w:sz w:val="18"/>
          <w:szCs w:val="18"/>
          <w:color w:val="auto"/>
        </w:rPr>
        <w:t>" shall mean the date on which the first Share of Preferred Shares was issued.</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68" w:lineRule="auto"/>
        <w:tabs>
          <w:tab w:leader="none" w:pos="194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Ordinary Shares, including, but not limited to, Preferred Shares, and excluding Options.</w:t>
      </w:r>
    </w:p>
    <w:p>
      <w:pPr>
        <w:spacing w:after="0" w:line="170" w:lineRule="exact"/>
        <w:rPr>
          <w:rFonts w:ascii="Times New Roman" w:cs="Times New Roman" w:eastAsia="Times New Roman" w:hAnsi="Times New Roman"/>
          <w:sz w:val="18"/>
          <w:szCs w:val="18"/>
          <w:color w:val="auto"/>
        </w:rPr>
      </w:pPr>
    </w:p>
    <w:p>
      <w:pPr>
        <w:jc w:val="both"/>
        <w:ind w:left="1944" w:hanging="648"/>
        <w:spacing w:after="0" w:line="262" w:lineRule="auto"/>
        <w:tabs>
          <w:tab w:leader="none" w:pos="194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Ordinary Shares</w:t>
      </w:r>
      <w:r>
        <w:rPr>
          <w:rFonts w:ascii="Times New Roman" w:cs="Times New Roman" w:eastAsia="Times New Roman" w:hAnsi="Times New Roman"/>
          <w:sz w:val="18"/>
          <w:szCs w:val="18"/>
          <w:color w:val="auto"/>
        </w:rPr>
        <w:t>" shall mean all Ordinary Shares issued or deemed to be issued pursuant to Article 7.1(d) (ii) by the Company after the Original Issuance Date, other than (a) the Ordinary Shares listed below and (b) Ordinary Shares deemed issued pursuant to the Options and Convertible Securities listed below (together, the "</w:t>
      </w:r>
      <w:r>
        <w:rPr>
          <w:rFonts w:ascii="Times New Roman" w:cs="Times New Roman" w:eastAsia="Times New Roman" w:hAnsi="Times New Roman"/>
          <w:sz w:val="18"/>
          <w:szCs w:val="18"/>
          <w:b w:val="1"/>
          <w:bCs w:val="1"/>
          <w:color w:val="auto"/>
        </w:rPr>
        <w:t>Exempted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584" w:hanging="640"/>
        <w:spacing w:after="0"/>
        <w:tabs>
          <w:tab w:leader="none" w:pos="258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Options or Convertible Securities issued as a dividend or distribution on Preferred Shares;</w:t>
      </w:r>
    </w:p>
    <w:p>
      <w:pPr>
        <w:spacing w:after="0" w:line="225" w:lineRule="exact"/>
        <w:rPr>
          <w:rFonts w:ascii="Times New Roman" w:cs="Times New Roman" w:eastAsia="Times New Roman" w:hAnsi="Times New Roman"/>
          <w:sz w:val="18"/>
          <w:szCs w:val="18"/>
          <w:color w:val="auto"/>
        </w:rPr>
      </w:pPr>
    </w:p>
    <w:p>
      <w:pPr>
        <w:jc w:val="both"/>
        <w:ind w:left="2584" w:hanging="640"/>
        <w:spacing w:after="0" w:line="266" w:lineRule="auto"/>
        <w:tabs>
          <w:tab w:leader="none" w:pos="258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Options or Convertible Securities issued by reason of division, consolidation or combination of Shares in accordance with the Companies Act, or other distribution on Ordinary Shares covered by Article 7.1(e);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29" w:name="page330"/>
    <w:bookmarkEnd w:id="329"/>
    <w:p>
      <w:pPr>
        <w:jc w:val="both"/>
        <w:ind w:left="2120" w:hanging="640"/>
        <w:spacing w:after="0" w:line="266" w:lineRule="auto"/>
        <w:tabs>
          <w:tab w:leader="none" w:pos="212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Options issued to employees or Directors of, or consultants or advisors to, the Company or any of its subsidiaries pursuant to a plan, agreement or arrangement approved by the Board, including, but not limited to, the ESOP;</w:t>
      </w:r>
    </w:p>
    <w:p>
      <w:pPr>
        <w:spacing w:after="0" w:line="175" w:lineRule="exact"/>
        <w:rPr>
          <w:rFonts w:ascii="Times New Roman" w:cs="Times New Roman" w:eastAsia="Times New Roman" w:hAnsi="Times New Roman"/>
          <w:sz w:val="18"/>
          <w:szCs w:val="18"/>
          <w:color w:val="auto"/>
        </w:rPr>
      </w:pPr>
    </w:p>
    <w:p>
      <w:pPr>
        <w:jc w:val="both"/>
        <w:ind w:left="2120" w:hanging="640"/>
        <w:spacing w:after="0" w:line="266" w:lineRule="auto"/>
        <w:tabs>
          <w:tab w:leader="none" w:pos="212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Convertible Securities issued upon the exercise of Options or Ordinary Shares issued upon the conversion or exchange of Convertible Securities; provided, that in each case such issuance is pursuant to the terms of such Option or Convertible Security;</w:t>
      </w:r>
    </w:p>
    <w:p>
      <w:pPr>
        <w:spacing w:after="0" w:line="17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Shares issued to the VE Shareholders;</w:t>
      </w:r>
    </w:p>
    <w:p>
      <w:pPr>
        <w:spacing w:after="0" w:line="223"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Securities issued pursuant to Clause 10.13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of the Shareholders Agreement;</w:t>
      </w:r>
    </w:p>
    <w:p>
      <w:pPr>
        <w:spacing w:after="0" w:line="227"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issued pursuant to the Restructuring Plan (as defined in the Subscription Agreement),</w:t>
      </w:r>
    </w:p>
    <w:p>
      <w:pPr>
        <w:spacing w:after="0" w:line="221" w:lineRule="exact"/>
        <w:rPr>
          <w:rFonts w:ascii="Times New Roman" w:cs="Times New Roman" w:eastAsia="Times New Roman" w:hAnsi="Times New Roman"/>
          <w:sz w:val="18"/>
          <w:szCs w:val="18"/>
          <w:color w:val="auto"/>
        </w:rPr>
      </w:pPr>
    </w:p>
    <w:p>
      <w:pPr>
        <w:jc w:val="both"/>
        <w:ind w:left="1480" w:hanging="648"/>
        <w:spacing w:after="0" w:line="257" w:lineRule="auto"/>
        <w:tabs>
          <w:tab w:leader="none" w:pos="14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7.1 to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of Preferred Shares shall be construed to mean the compulsory redemption of the Preferred Shares of any Member and, on behalf of such Member, automatic application of the proceeds of redemption (calculated on the basis that the Ordinary Shares to be issued as part of the conversion or exchange will be issued at par) in paying for the new Ordinary Shares into which such Preferred Shares have been converted or exchanged. The new Ordinary Shares shall be registered in the name of the redeeming Member or in such name as the redeeming Member shall direct.</w:t>
      </w:r>
    </w:p>
    <w:p>
      <w:pPr>
        <w:spacing w:after="0" w:line="182"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Deemed Issuance of Additional Ordinary Shares.</w:t>
      </w:r>
    </w:p>
    <w:p>
      <w:pPr>
        <w:spacing w:after="0" w:line="229"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or from time to time after the Original Issuance Date issues any Option or Convertible Security (excluding Options or Convertible Securities which are Exempted Securities), then the maximum number of Ordinary Shares (as set forth in the instrument relating thereto, assuming the satisfaction of any conditions to exercisability, convertibility or exchangeability but without regard to any provision contained therein for a subsequent adjustment of such number) issuable upon the exercise, conversion or exchange of such Option or Convertible Security, shall be deemed to be Additional Ordinary Shares issued as of the time of such issuance.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0" w:name="page331"/>
    <w:bookmarkEnd w:id="330"/>
    <w:p>
      <w:pPr>
        <w:jc w:val="both"/>
        <w:ind w:left="1480" w:hanging="648"/>
        <w:spacing w:after="0" w:line="253" w:lineRule="auto"/>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any Option or Convertible Security (excluding Exempted Securities), the issuance of which did not result in an adjustment to the Conversion Price for Preferred Shares in accordance with Article 6, are revised after the Original Issuance Date as a result of an amendment or any other adjustment pursuant to the provisions of such Option or Convertible Security (but excluding automatic adjustments to such terms pursuant to anti-dilution or similar provisions of such Option or Convertible Security) to provide for either (1) an increase in the number of Ordinary Shares issuable upon the exercise, conversion or exchange of such Option or Convertible Security or (2) a decrease in the consideration payable to the Company upon such exercise, conversion or exchange, then such Option or Convertible Security, as so amended or adjusted, and the Additional Ordinary Shares subject thereto (determined in the manner provided in Article 7.1(d)(ii)(A)) shall be deemed to have been issued effective upon such increase or decrease becoming effective.</w:t>
      </w:r>
    </w:p>
    <w:p>
      <w:pPr>
        <w:spacing w:after="0" w:line="190" w:lineRule="exact"/>
        <w:rPr>
          <w:rFonts w:ascii="Times New Roman" w:cs="Times New Roman" w:eastAsia="Times New Roman" w:hAnsi="Times New Roman"/>
          <w:sz w:val="18"/>
          <w:szCs w:val="18"/>
          <w:color w:val="auto"/>
        </w:rPr>
      </w:pPr>
    </w:p>
    <w:p>
      <w:pPr>
        <w:jc w:val="both"/>
        <w:ind w:left="840" w:hanging="656"/>
        <w:spacing w:after="0" w:line="262" w:lineRule="auto"/>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Adjustment of Conversion Price. </w:t>
      </w:r>
      <w:r>
        <w:rPr>
          <w:rFonts w:ascii="Times New Roman" w:cs="Times New Roman" w:eastAsia="Times New Roman" w:hAnsi="Times New Roman"/>
          <w:sz w:val="18"/>
          <w:szCs w:val="18"/>
          <w:color w:val="auto"/>
        </w:rPr>
        <w:t>No adjustment in the Conversion Price for Preferred Shares shall be made as the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or deemed issuance of Additional Ordinary Shares if the Company receives written notice from the holders of at least a majority of the then outstanding Preferred Shares agreeing that no such adjustment shall be made as the result of the issuance or deemed issuance of such Additional Ordinary Shares.</w:t>
      </w:r>
    </w:p>
    <w:p>
      <w:pPr>
        <w:spacing w:after="0" w:line="176"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Conversion Price Adjustment for Deemed Issuances of Additional Ordinary Shares.</w:t>
      </w:r>
    </w:p>
    <w:p>
      <w:pPr>
        <w:spacing w:after="0" w:line="229" w:lineRule="exact"/>
        <w:rPr>
          <w:rFonts w:ascii="Times New Roman" w:cs="Times New Roman" w:eastAsia="Times New Roman" w:hAnsi="Times New Roman"/>
          <w:sz w:val="18"/>
          <w:szCs w:val="18"/>
          <w:color w:val="auto"/>
        </w:rPr>
      </w:pPr>
    </w:p>
    <w:p>
      <w:pPr>
        <w:jc w:val="both"/>
        <w:ind w:left="1480" w:hanging="648"/>
        <w:spacing w:after="0" w:line="252" w:lineRule="auto"/>
        <w:tabs>
          <w:tab w:leader="none" w:pos="14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any Option or Convertible Security, the issuance of which resulted in an adjustment to the Conversion Price for the Preferred Shares in accordance with Article 6 (the "</w:t>
      </w:r>
      <w:r>
        <w:rPr>
          <w:rFonts w:ascii="Times New Roman" w:cs="Times New Roman" w:eastAsia="Times New Roman" w:hAnsi="Times New Roman"/>
          <w:sz w:val="18"/>
          <w:szCs w:val="18"/>
          <w:b w:val="1"/>
          <w:bCs w:val="1"/>
          <w:color w:val="auto"/>
        </w:rPr>
        <w:t>Original Option or Convertible Issuance</w:t>
      </w:r>
      <w:r>
        <w:rPr>
          <w:rFonts w:ascii="Times New Roman" w:cs="Times New Roman" w:eastAsia="Times New Roman" w:hAnsi="Times New Roman"/>
          <w:sz w:val="18"/>
          <w:szCs w:val="18"/>
          <w:color w:val="auto"/>
        </w:rPr>
        <w:t>"), are revised as a result of an amendment or any other adjustment pursuant to the provisions of such Option or Convertible Security (but excluding automatic adjustments to such terms pursuant to anti-dilution or similar provisions of such Option or Convertible Security) to provide for either (1) an increase or decrease in the number of Ordinary Shares issuable upon the exercise, conversion and/or exchange of any such Option or Convertible Security or (2) an increase or decrease in the consideration payable to the Company upon such exercise, conversion and/or exchange, then, effective upon such increase or decrease becoming effective, the Conversion Price for the Preferred Shares computed based on the terms of the Original Option or Convertible Issuance shall be readjusted to equal the Conversion Price for the Preferred Shares as would have been obtained had such revised terms been in effect on the date of the Original Option or Convertible Issuance. Notwithstanding the foregoing, no readjustment pursuant to Article 7.1(d)(iv)(A) shall have the effect of increasing the Conversion Price for the Preferred Shares to an amount exceeding the lower of the Conversion Price for the Preferred Shares (1) in effect immediately prior to the adjustment made as a result of the Original Option or Convertible Issuance and (2) that would have been in effect if the Original Option or Convertible Issuance had not occurred.</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1" w:name="page332"/>
    <w:bookmarkEnd w:id="331"/>
    <w:p>
      <w:pPr>
        <w:jc w:val="both"/>
        <w:ind w:left="1480" w:hanging="648"/>
        <w:spacing w:after="0" w:line="258" w:lineRule="auto"/>
        <w:tabs>
          <w:tab w:leader="none" w:pos="148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any unexercised Option or unconverted or unexchanged Convertible Security (or portion thereof) which resulted (either upon its original issuance or upon a revision of its terms) in an adjustment to the Conversion Price for the Preferred Shares in accordance with Article 6 the Conversion Price for the Preferred Shares shall be readjusted to equal such Conversion Price for the Preferred Shares as would have been in effect had such Option or Convertible Security (or portion thereof) never been issued.</w:t>
      </w:r>
    </w:p>
    <w:p>
      <w:pPr>
        <w:spacing w:after="0" w:line="183" w:lineRule="exact"/>
        <w:rPr>
          <w:rFonts w:ascii="Times New Roman" w:cs="Times New Roman" w:eastAsia="Times New Roman" w:hAnsi="Times New Roman"/>
          <w:sz w:val="18"/>
          <w:szCs w:val="18"/>
          <w:color w:val="auto"/>
        </w:rPr>
      </w:pPr>
    </w:p>
    <w:p>
      <w:pPr>
        <w:jc w:val="both"/>
        <w:ind w:left="1480" w:hanging="648"/>
        <w:spacing w:after="0" w:line="254" w:lineRule="auto"/>
        <w:tabs>
          <w:tab w:leader="none" w:pos="148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Ordinary Shares issuable upon the exercise, conversion or exchange of any Option or Convertible Security, or the consideration payable to the Company upon such exercise, conversion or exchange, cannot be calculated at the time such Option or Convertible Security is issued or amended, any adjustment to the Conversion Price for the Preferred Shares that would have resulted under the terms of Article 7.1(d)(ii) or Article 7.1(d)(iv)(A) at the time of such issuance or amendment shall instead be effected at the time such number of Shares and/or amount of consideration is first calculable (even if subject to subsequent adjustments), assuming for purposes of calculating such adjustment to the Conversion Price for the Preferred Shares that such issuance or amendment took place at the time such calculation can first be made.</w:t>
      </w:r>
    </w:p>
    <w:p>
      <w:pPr>
        <w:spacing w:after="0" w:line="187" w:lineRule="exact"/>
        <w:rPr>
          <w:rFonts w:ascii="Times New Roman" w:cs="Times New Roman" w:eastAsia="Times New Roman" w:hAnsi="Times New Roman"/>
          <w:sz w:val="18"/>
          <w:szCs w:val="18"/>
          <w:color w:val="auto"/>
        </w:rPr>
      </w:pPr>
    </w:p>
    <w:p>
      <w:pPr>
        <w:ind w:left="840" w:hanging="656"/>
        <w:spacing w:after="0" w:line="286" w:lineRule="auto"/>
        <w:tabs>
          <w:tab w:leader="none" w:pos="8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Determination of Consideration. </w:t>
      </w:r>
      <w:r>
        <w:rPr>
          <w:rFonts w:ascii="Times New Roman" w:cs="Times New Roman" w:eastAsia="Times New Roman" w:hAnsi="Times New Roman"/>
          <w:sz w:val="18"/>
          <w:szCs w:val="18"/>
          <w:color w:val="auto"/>
        </w:rPr>
        <w:t>For purposes of Article 7.1(d) the consideration received by the Company for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Additional Ordinary Shares shall be computed as follows:</w:t>
      </w:r>
    </w:p>
    <w:p>
      <w:pPr>
        <w:spacing w:after="0" w:line="154"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Property: </w:t>
      </w:r>
      <w:r>
        <w:rPr>
          <w:rFonts w:ascii="Times New Roman" w:cs="Times New Roman" w:eastAsia="Times New Roman" w:hAnsi="Times New Roman"/>
          <w:sz w:val="18"/>
          <w:szCs w:val="18"/>
          <w:color w:val="auto"/>
        </w:rPr>
        <w:t>Such consideration shall:</w:t>
      </w:r>
    </w:p>
    <w:p>
      <w:pPr>
        <w:spacing w:after="0" w:line="229" w:lineRule="exact"/>
        <w:rPr>
          <w:rFonts w:ascii="Times New Roman" w:cs="Times New Roman" w:eastAsia="Times New Roman" w:hAnsi="Times New Roman"/>
          <w:sz w:val="18"/>
          <w:szCs w:val="18"/>
          <w:color w:val="auto"/>
        </w:rPr>
      </w:pPr>
    </w:p>
    <w:p>
      <w:pPr>
        <w:ind w:left="2120" w:right="20" w:hanging="640"/>
        <w:spacing w:after="0" w:line="282" w:lineRule="auto"/>
        <w:tabs>
          <w:tab w:leader="none" w:pos="212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Company, excluding amounts paid or payable for accrued interest;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2" w:name="page333"/>
    <w:bookmarkEnd w:id="332"/>
    <w:p>
      <w:pPr>
        <w:ind w:left="2120" w:hanging="640"/>
        <w:spacing w:after="0" w:line="282" w:lineRule="auto"/>
        <w:tabs>
          <w:tab w:leader="none" w:pos="21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issuance, as determined in good faith by the Board; and</w:t>
      </w:r>
    </w:p>
    <w:p>
      <w:pPr>
        <w:spacing w:after="0" w:line="161" w:lineRule="exact"/>
        <w:rPr>
          <w:rFonts w:ascii="Times New Roman" w:cs="Times New Roman" w:eastAsia="Times New Roman" w:hAnsi="Times New Roman"/>
          <w:sz w:val="18"/>
          <w:szCs w:val="18"/>
          <w:color w:val="auto"/>
        </w:rPr>
      </w:pPr>
    </w:p>
    <w:p>
      <w:pPr>
        <w:jc w:val="both"/>
        <w:ind w:left="2120" w:right="20" w:hanging="640"/>
        <w:spacing w:after="0" w:line="261" w:lineRule="auto"/>
        <w:tabs>
          <w:tab w:leader="none" w:pos="21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Ordinary Shares are issued together with other Shares or Securities or other assets of the Company for consideration which covers both cash and property other than cash, be the proportion of such consideration so received, computed as provided in Articles 7.1(d)(v)(A)i and 7.1(d)(v)(A)ii, above, as determined in good faith by the Board.</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8" w:lineRule="auto"/>
        <w:tabs>
          <w:tab w:leader="none" w:pos="14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Options and Convertible Securities. </w:t>
      </w:r>
      <w:r>
        <w:rPr>
          <w:rFonts w:ascii="Times New Roman" w:cs="Times New Roman" w:eastAsia="Times New Roman" w:hAnsi="Times New Roman"/>
          <w:sz w:val="18"/>
          <w:szCs w:val="18"/>
          <w:color w:val="auto"/>
        </w:rPr>
        <w:t>The consideration per Share received by the Company for Additional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deemed to have been issued pursuant to Article 7.1(d)(ii), relating to Options and Convertible Securities, shall be determined by dividing:</w:t>
      </w:r>
    </w:p>
    <w:p>
      <w:pPr>
        <w:spacing w:after="0" w:line="174" w:lineRule="exact"/>
        <w:rPr>
          <w:rFonts w:ascii="Times New Roman" w:cs="Times New Roman" w:eastAsia="Times New Roman" w:hAnsi="Times New Roman"/>
          <w:sz w:val="18"/>
          <w:szCs w:val="18"/>
          <w:color w:val="auto"/>
        </w:rPr>
      </w:pPr>
    </w:p>
    <w:p>
      <w:pPr>
        <w:jc w:val="both"/>
        <w:ind w:left="2120" w:hanging="640"/>
        <w:spacing w:after="0" w:line="255" w:lineRule="auto"/>
        <w:tabs>
          <w:tab w:leader="none" w:pos="212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Company as consideration for the issuance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8" w:lineRule="exact"/>
        <w:rPr>
          <w:rFonts w:ascii="Times New Roman" w:cs="Times New Roman" w:eastAsia="Times New Roman" w:hAnsi="Times New Roman"/>
          <w:sz w:val="18"/>
          <w:szCs w:val="18"/>
          <w:color w:val="auto"/>
        </w:rPr>
      </w:pPr>
    </w:p>
    <w:p>
      <w:pPr>
        <w:jc w:val="both"/>
        <w:ind w:left="2120" w:hanging="640"/>
        <w:spacing w:after="0" w:line="258" w:lineRule="auto"/>
        <w:tabs>
          <w:tab w:leader="none" w:pos="212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Ordinary Shares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3" w:name="page334"/>
    <w:bookmarkEnd w:id="333"/>
    <w:p>
      <w:pPr>
        <w:jc w:val="both"/>
        <w:ind w:left="1960" w:hanging="656"/>
        <w:spacing w:after="0" w:line="259"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Multiple Closing Dates</w:t>
      </w:r>
      <w:r>
        <w:rPr>
          <w:rFonts w:ascii="Times New Roman" w:cs="Times New Roman" w:eastAsia="Times New Roman" w:hAnsi="Times New Roman"/>
          <w:sz w:val="18"/>
          <w:szCs w:val="18"/>
          <w:color w:val="auto"/>
        </w:rPr>
        <w:t>. In the event the Company shall issue on more than one date Additional Ordinary Shares that are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 transaction or a series of related transactions and that would result in an adjustment to the Conversion Price for the Preferred Shares in accordance with Article 6, then, upon the final such issuance, the Conversion Price for such Preferred Shares shall be readjusted to give effect to all such issuances as if they occurred on the date of the first such issuance (and without giving effect to any additional adjustments as a result of any such subsequent issuances within such period).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Price Adjustment for Division or Combination of Shares.</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at any time or from time to time after the Original Issuance Date effect a subdivision of the issued Ordinary Shares, the Conversion Price for the Preferred Shares in effect immediately before such subdivision shall be proportionately decreased so that the number of Ordinary Shares issuable on conversion of each Share shall be increased in proportion to such increase in the aggregate number of Ordinary Shares outstanding.</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at any time or from time to time after the Original Issuance Date combine or consolidate the issued Ordinary Shares, the Conversion Prices for the Preferred Shares in effect immediately before such combination shall be proportionately increased so that the number of Ordinary Shares issuable on conversion of each Share shall be decreased in proportion to such decrease in the aggregate number of Ordinary Shares issued.</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under this Article 7.1(e) shall become effective at the close of business on the date the subdivision or combination/consolidation becomes effective.</w:t>
      </w:r>
    </w:p>
    <w:p>
      <w:pPr>
        <w:spacing w:after="0" w:line="158" w:lineRule="exact"/>
        <w:rPr>
          <w:sz w:val="20"/>
          <w:szCs w:val="20"/>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Company shall maintain or cause to be maintained a Register of Members.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Upon request, the Directors shall confirm to any Member the entry of the name of such Member in the Register of Members and the number of Shares held by such Member. No Member (not being a Director) shall have any right to inspect the Register of Members except as conferred by the Companies Act or as authorised by the Directors.</w:t>
      </w:r>
    </w:p>
    <w:p>
      <w:pPr>
        <w:spacing w:after="0" w:line="172" w:lineRule="exact"/>
        <w:rPr>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CLOSURE OF THE REGISTER OF MEMBERS AND FIXING A RECORD DATE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Power of Directors to close the Register of Members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purpose of determining Members entitled to notice of, or to vote at any meeting of Members or any adjournment of a meeting, or Members entitled to receive payment of any Dividend, or in order to make a determination of Members for any other proper purpose, the Directors may provide that the Register of Members shall be closed for transfers for a stated period which shall not in any case exceed 40 days.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4" w:name="page335"/>
    <w:bookmarkEnd w:id="334"/>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Power of Directors to fix a record date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Members entitled to notice of or to vote at a meeting of the Members, and for the purpose of determining the Members entitled to receive payment of any Dividend or in order to make a determination of Members for any other purpose.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Circumstances where Register of Members is not closed and no fixed record date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the Register of Members is not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of that meeting.</w:t>
      </w:r>
    </w:p>
    <w:p>
      <w:pPr>
        <w:spacing w:after="0" w:line="179"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Issue of share certificates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Member shall only be entitled to a share certificate if the Directors resolve that share certificates shall be issued.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Form of share certificates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Share certificates, if any, shall be in such form as the Directors may determine and shall be signed by one or more Directors or any other person so authorised by the Directors. The Directors may authorise share certificates to be issued with the authorised signature(s) affixed by mechanical process. All share certificates shall be consecutively numbered or otherwise identified and shall specify the number and class of Shares to which they relate. All share certificates surrendered to the Company for transfer shall be cancelled and subject to these Articles no new certificate shall be issued until the former certificate evidencing a like number of relevant Shares shall have been surrendered and cancelled. Where only some of the Shares evidenced by a share certificate are transferred, the old certificate shall be surrendered and cancelled and a new certificate for the balance of the Shares shall be issued in lieu without charge.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Certificates for jointly-held Shares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If the Company issues a share certificate in respect of Shares held jointly by more than one person, delivery of a single share certificate to one joint holder shall be a sufficient delivery to all of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5" w:name="page336"/>
    <w:bookmarkEnd w:id="33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Replacement of share certificates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 share certificate is defaced, worn-out or alleged to have been lost, stolen or destroyed, a new share certificate shall be issued on the payment of such expenses reasonably incurred by the Company and the person requiring the new share certificate shall first surrender the defaced or worn-out share certificate or give such evidence of the loss, theft or destruction of the share certificate and such indemnity to the Company as the Directors may require.</w:t>
      </w:r>
    </w:p>
    <w:p>
      <w:pPr>
        <w:spacing w:after="0" w:line="176" w:lineRule="exact"/>
        <w:rPr>
          <w:sz w:val="20"/>
          <w:szCs w:val="20"/>
          <w:color w:val="auto"/>
        </w:rPr>
      </w:pPr>
    </w:p>
    <w:p>
      <w:pPr>
        <w:ind w:left="660" w:hanging="652"/>
        <w:spacing w:after="0"/>
        <w:tabs>
          <w:tab w:leader="none" w:pos="66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Written instrument of transfer</w:t>
      </w:r>
    </w:p>
    <w:p>
      <w:pPr>
        <w:spacing w:after="0" w:line="229" w:lineRule="exact"/>
        <w:rPr>
          <w:sz w:val="20"/>
          <w:szCs w:val="20"/>
          <w:color w:val="auto"/>
        </w:rPr>
      </w:pPr>
    </w:p>
    <w:p>
      <w:pPr>
        <w:ind w:left="1300" w:hanging="644"/>
        <w:spacing w:after="0" w:line="282"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 Share is transferable by means of a written instrument of transfer in any usual or common form for use in the Cayman Islands or any other form approved by the Directors and which:</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executed by or on behalf of the transferor;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accompanied by such documentation that the Directors may request.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exercise their powers to ensure that Shares are only transferred in accordance with the Shareholders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Refusal to register transfers</w:t>
      </w:r>
    </w:p>
    <w:p>
      <w:pPr>
        <w:spacing w:after="0" w:line="229" w:lineRule="exact"/>
        <w:rPr>
          <w:sz w:val="20"/>
          <w:szCs w:val="20"/>
          <w:color w:val="auto"/>
        </w:rPr>
      </w:pPr>
    </w:p>
    <w:p>
      <w:pPr>
        <w:ind w:left="1300" w:hanging="644"/>
        <w:spacing w:after="0"/>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resolve to refuse to register any transfer of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refuse to register a transfer of Shares they must, within two months of such refusal (i) give notice of the refusal to the registered holder of the Shares and the proposed transferee named on the transfer and (ii) at their election, either destroy any instrument of transfer provided to them in respect of such proposed transfer, or return such instrument to the person who provided it to them. Failure to provide such notice or to destroy or return such instrument does not invalidate the decision of the Directors to refuse to register that transfer.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Shareholders Agreement is in force, and notwithstanding Articles 11.2(a) or (b) or any other Article, the Directors must not decline to register a transfer of a Share or suspend the registration of a transfer of a Share to the extent that such transfer is permitted or required by, or otherwise complies with, the terms of the Shareholders Agreement, and must refuse to register a transfer if such proposed transfer would result in a breach of any term of the Shareholders Agreement or which otherwise would not be permitted by, or would not comply with, the terms of the Shareholders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Effect of registration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transferor shall be deemed to remain the holder of the Share transferred until the name of the transferee is entered in the Register of Members in respect of that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6" w:name="page337"/>
    <w:bookmarkEnd w:id="33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Transfer Restrictions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these Articles, no Party shall Transfer any Securities to any of the Competitors, unless:</w:t>
      </w:r>
    </w:p>
    <w:p>
      <w:pPr>
        <w:spacing w:after="0" w:line="225" w:lineRule="exact"/>
        <w:rPr>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Wuhan Douyu Competitor, prior written consent has been obtained from Wuhan Douyu;</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NIP Competitor, prior written consent has been obtained from either the NIP Founder Holdcos or the NIP Founders;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Company Competitor, prior written consent has been obtained either from all of the Founder Holdcos or from all of the Founders.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Drag Along Right</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Members (the "</w:t>
      </w:r>
      <w:r>
        <w:rPr>
          <w:rFonts w:ascii="Times New Roman" w:cs="Times New Roman" w:eastAsia="Times New Roman" w:hAnsi="Times New Roman"/>
          <w:sz w:val="18"/>
          <w:szCs w:val="18"/>
          <w:b w:val="1"/>
          <w:bCs w:val="1"/>
          <w:color w:val="auto"/>
        </w:rPr>
        <w:t>Dragging Shareholders</w:t>
      </w:r>
      <w:r>
        <w:rPr>
          <w:rFonts w:ascii="Times New Roman" w:cs="Times New Roman" w:eastAsia="Times New Roman" w:hAnsi="Times New Roman"/>
          <w:sz w:val="18"/>
          <w:szCs w:val="18"/>
          <w:color w:val="auto"/>
        </w:rPr>
        <w:t>") proposes to Transfer, whether through a single transaction or a series of related transactions, such number of Securities held by them which in aggregate would constitute a Change of Control (a "</w:t>
      </w:r>
      <w:r>
        <w:rPr>
          <w:rFonts w:ascii="Times New Roman" w:cs="Times New Roman" w:eastAsia="Times New Roman" w:hAnsi="Times New Roman"/>
          <w:sz w:val="18"/>
          <w:szCs w:val="18"/>
          <w:b w:val="1"/>
          <w:bCs w:val="1"/>
          <w:color w:val="auto"/>
        </w:rPr>
        <w:t>Drag-Along Sale</w:t>
      </w:r>
      <w:r>
        <w:rPr>
          <w:rFonts w:ascii="Times New Roman" w:cs="Times New Roman" w:eastAsia="Times New Roman" w:hAnsi="Times New Roman"/>
          <w:sz w:val="18"/>
          <w:szCs w:val="18"/>
          <w:color w:val="auto"/>
        </w:rPr>
        <w:t>"), the Dragging Shareholders may require all other Shareholders (other than (i) the NIP Shareholders, unless the Dragging Shareholders include all of the NIP Founder Holdcos; and (ii) the VE Financial Shareholders unless the Dragging Shareholders include all of the VE Founder Holdcos) (the "</w:t>
      </w:r>
      <w:r>
        <w:rPr>
          <w:rFonts w:ascii="Times New Roman" w:cs="Times New Roman" w:eastAsia="Times New Roman" w:hAnsi="Times New Roman"/>
          <w:sz w:val="18"/>
          <w:szCs w:val="18"/>
          <w:b w:val="1"/>
          <w:bCs w:val="1"/>
          <w:color w:val="auto"/>
        </w:rPr>
        <w:t>Dragged Shareholders</w:t>
      </w:r>
      <w:r>
        <w:rPr>
          <w:rFonts w:ascii="Times New Roman" w:cs="Times New Roman" w:eastAsia="Times New Roman" w:hAnsi="Times New Roman"/>
          <w:sz w:val="18"/>
          <w:szCs w:val="18"/>
          <w:color w:val="auto"/>
        </w:rPr>
        <w:t>") to participate in such Drag-Along Sale in accordance with this Article 11.5, provided that the Drag-Along Sale (including such price and terms thereof) has been approved as a Shareholders Reserved Matter following the Requisite Approvals and agreed to by all of the Founder Parties in writing.</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calendar days after entering into any binding agreement (in the form approved as a Shareholders Reserved Matter for purposes of the Drag-Along Sale) (the "</w:t>
      </w:r>
      <w:r>
        <w:rPr>
          <w:rFonts w:ascii="Times New Roman" w:cs="Times New Roman" w:eastAsia="Times New Roman" w:hAnsi="Times New Roman"/>
          <w:sz w:val="18"/>
          <w:szCs w:val="18"/>
          <w:b w:val="1"/>
          <w:bCs w:val="1"/>
          <w:color w:val="auto"/>
        </w:rPr>
        <w:t>Sale Agreement</w:t>
      </w:r>
      <w:r>
        <w:rPr>
          <w:rFonts w:ascii="Times New Roman" w:cs="Times New Roman" w:eastAsia="Times New Roman" w:hAnsi="Times New Roman"/>
          <w:sz w:val="18"/>
          <w:szCs w:val="18"/>
          <w:color w:val="auto"/>
        </w:rPr>
        <w:t>"), the Dragging Shareholders shall deliver a written notice (the "</w:t>
      </w:r>
      <w:r>
        <w:rPr>
          <w:rFonts w:ascii="Times New Roman" w:cs="Times New Roman" w:eastAsia="Times New Roman" w:hAnsi="Times New Roman"/>
          <w:sz w:val="18"/>
          <w:szCs w:val="18"/>
          <w:b w:val="1"/>
          <w:bCs w:val="1"/>
          <w:color w:val="auto"/>
        </w:rPr>
        <w:t>Tag Notice</w:t>
      </w:r>
      <w:r>
        <w:rPr>
          <w:rFonts w:ascii="Times New Roman" w:cs="Times New Roman" w:eastAsia="Times New Roman" w:hAnsi="Times New Roman"/>
          <w:sz w:val="18"/>
          <w:szCs w:val="18"/>
          <w:color w:val="auto"/>
        </w:rPr>
        <w:t>") to all other Shareholders (the "</w:t>
      </w:r>
      <w:r>
        <w:rPr>
          <w:rFonts w:ascii="Times New Roman" w:cs="Times New Roman" w:eastAsia="Times New Roman" w:hAnsi="Times New Roman"/>
          <w:sz w:val="18"/>
          <w:szCs w:val="18"/>
          <w:b w:val="1"/>
          <w:bCs w:val="1"/>
          <w:color w:val="auto"/>
        </w:rPr>
        <w:t>Tag Holders</w:t>
      </w:r>
      <w:r>
        <w:rPr>
          <w:rFonts w:ascii="Times New Roman" w:cs="Times New Roman" w:eastAsia="Times New Roman" w:hAnsi="Times New Roman"/>
          <w:sz w:val="18"/>
          <w:szCs w:val="18"/>
          <w:color w:val="auto"/>
        </w:rPr>
        <w:t>") stating:</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proposed Qualified Third Party(ies) for the Drag-Along Sale (the "</w:t>
      </w:r>
      <w:r>
        <w:rPr>
          <w:rFonts w:ascii="Times New Roman" w:cs="Times New Roman" w:eastAsia="Times New Roman" w:hAnsi="Times New Roman"/>
          <w:sz w:val="18"/>
          <w:szCs w:val="18"/>
          <w:b w:val="1"/>
          <w:bCs w:val="1"/>
          <w:color w:val="auto"/>
        </w:rPr>
        <w:t>Tag Transferee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to be Transferred;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date of consummation of the proposed Drag-Along Sale;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Tag Transferee has been informed of the Tag-Along Right;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no consideration is being provided to any Dragging Shareholder that is not reflected in the price to be paid to such Tag Holder (if it exercises the Tag-Along Right);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Tag Transferee is a Qualified Third 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7" w:name="page338"/>
    <w:bookmarkEnd w:id="337"/>
    <w:p>
      <w:pPr>
        <w:jc w:val="both"/>
        <w:ind w:left="644" w:hanging="644"/>
        <w:spacing w:after="0" w:line="266" w:lineRule="auto"/>
        <w:tabs>
          <w:tab w:leader="none" w:pos="6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Tag Notice shall be accompanied by true and complete copies of all agreements (including the Sale Agreement) between the Dragging Shareholders and the Tag Transferee regarding the proposed Drag-Along Sale. For the purposes of this Article 11.5, the Members who have a Tag-Along Right are the same Members who may be subject to the Drag Notice.</w:t>
      </w:r>
    </w:p>
    <w:p>
      <w:pPr>
        <w:spacing w:after="0" w:line="171"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Dragging Shareholders may, within five (5) calendar days after the date of the Tag Notice, by delivering a notice in writing (a "</w:t>
      </w:r>
      <w:r>
        <w:rPr>
          <w:rFonts w:ascii="Times New Roman" w:cs="Times New Roman" w:eastAsia="Times New Roman" w:hAnsi="Times New Roman"/>
          <w:sz w:val="18"/>
          <w:szCs w:val="18"/>
          <w:b w:val="1"/>
          <w:bCs w:val="1"/>
          <w:color w:val="auto"/>
        </w:rPr>
        <w:t>Drag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each of the Dragged Shareholders, require each Dragged Shareholder to participate in the Drag-Along Sale by Transferring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such Securities registered in the name of such Dragged Shareholder (the "</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 subject to the terms and on the date of completion of the Sale Agreement (which shall not be less than thirty (30) calendar days after the date of the Drag Notice) (the "</w:t>
      </w:r>
      <w:r>
        <w:rPr>
          <w:rFonts w:ascii="Times New Roman" w:cs="Times New Roman" w:eastAsia="Times New Roman" w:hAnsi="Times New Roman"/>
          <w:sz w:val="18"/>
          <w:szCs w:val="18"/>
          <w:b w:val="1"/>
          <w:bCs w:val="1"/>
          <w:color w:val="auto"/>
        </w:rPr>
        <w:t>Drag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as stipulated in the Drag Notice. If the Drag-Along Sale contemplated in the Sale Agreement is not completed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Drag Completion Date, the Drag Notice shall lapse.</w:t>
      </w:r>
    </w:p>
    <w:p>
      <w:pPr>
        <w:spacing w:after="0" w:line="186"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each Dragged Share shall: (a) be equal to the highest consideration offered for each Security in the Company in the Sale Agreement; (b) be in the same form as that offered for each Security in the Company in the Sale Agreement; and (c) shall be paid at the same time as the consideration is payable under the Sale Agreement (or, if later, on the Drag Completion Date) and shall be subject to the same payment terms.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Dragged Shareholders' obligations under this Article 11.5 to Transfer the Dragged Shares shall apply regardless of whether the Dragged Shares are of the same class or type of Securities of the Company which the Dragging Shareholders propose to Transfer, provided that, to the extent such a difference in class or type exists, the consideration payable to the Dragged Shareholders for the Dragged Shares shall be calculated as if all Securities of the Company held by the applicable Dragging Shareholders and the Dragged Shareholders which will be subject to a Transfer under this Article 11.5 (assuming the Dragging Shareholders exercise their drag-along rights in full) had been converted into Ordinary Shares on the date immediately prior to the date of the Drag Notice (to the extent not already in the form of Ordinary Shares) at the conversion price which would be applicable on such date had such conversion occurred on such date.</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 Dragged Shareholder shall be made on substantially the same terms and conditions as described in the Sale Agreement. However, the Dragged Shareholders shall not be required to make any representation or warranty to the proposed Qualified Third Party(ies), other than as to good title to any Dragged Shares, absence of liens with respect to such Dragged Shares, customary representations and warranties concerning the Dragged Shareholder's power and authority to undertake the proposed Transfer and the validity and enforceability of the Dragged Shareholder's obligations in connection with it. If any or all Dragged Shareholders are required to provide any indemnity under the Sale Agreement, each Dragged Shareholder's liability under such indemnity shall be several only and limited in amount to the proportion of its Dragged Shares that bears to the total number of Dragged Shares that are the subject of the Sale Agreement.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8" w:name="page339"/>
    <w:bookmarkEnd w:id="338"/>
    <w:p>
      <w:pPr>
        <w:ind w:left="130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11.5(a) to (g) (inclusive) shall not apply to the extent that the price, in cash or cash equivalents, for each Dragged Share does not represent a Fair Market Value for an arm's length sale as determined by an Independent Valuer, or is not in cash or cash equivalents.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11.5 shall be terminated upon the consummation of the Qualified IPO.</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color w:val="auto"/>
        </w:rPr>
        <w:t>Tag Along Right</w:t>
      </w:r>
    </w:p>
    <w:p>
      <w:pPr>
        <w:spacing w:after="0" w:line="229" w:lineRule="exact"/>
        <w:rPr>
          <w:sz w:val="20"/>
          <w:szCs w:val="20"/>
          <w:color w:val="auto"/>
        </w:rPr>
      </w:pPr>
    </w:p>
    <w:p>
      <w:pPr>
        <w:jc w:val="both"/>
        <w:ind w:left="1300" w:hanging="644"/>
        <w:spacing w:after="0" w:line="268" w:lineRule="auto"/>
        <w:tabs>
          <w:tab w:leader="none" w:pos="1300"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Dragging Shareholders do not deliver the Drag Notice to any Tag Holders within ten (10) calendar days after entering into the Sale Agreement, each Tag Holder shall have the right (the "</w:t>
      </w:r>
      <w:r>
        <w:rPr>
          <w:rFonts w:ascii="Times New Roman" w:cs="Times New Roman" w:eastAsia="Times New Roman" w:hAnsi="Times New Roman"/>
          <w:sz w:val="17"/>
          <w:szCs w:val="17"/>
          <w:b w:val="1"/>
          <w:bCs w:val="1"/>
          <w:color w:val="auto"/>
        </w:rPr>
        <w:t>Tag-Along Right</w:t>
      </w:r>
      <w:r>
        <w:rPr>
          <w:rFonts w:ascii="Times New Roman" w:cs="Times New Roman" w:eastAsia="Times New Roman" w:hAnsi="Times New Roman"/>
          <w:sz w:val="17"/>
          <w:szCs w:val="17"/>
          <w:color w:val="auto"/>
        </w:rPr>
        <w:t>") but not the obligation to require the Tag Transferee in a Drag-Along Sale to purchase from such Tag Holder (and its Permitted Transferees and Affiliates, if applicable), for the same consideration that would be payable to such Tag Holder had it been a Dragged Shareholder, up to all of the Securities held by such Tag Holder, its Permitted Transferees and Affiliates. The Tag-Along Right shall be exercisable by a Tag Holder by delivering a written notice of exercise of the Tag-Along Right to the Dragging Shareholders within ten (10) calendar days after the delivery of the Tag Notice specifying the number of Securities (the "</w:t>
      </w:r>
      <w:r>
        <w:rPr>
          <w:rFonts w:ascii="Times New Roman" w:cs="Times New Roman" w:eastAsia="Times New Roman" w:hAnsi="Times New Roman"/>
          <w:sz w:val="17"/>
          <w:szCs w:val="17"/>
          <w:b w:val="1"/>
          <w:bCs w:val="1"/>
          <w:color w:val="auto"/>
        </w:rPr>
        <w:t>Tag Securities</w:t>
      </w:r>
      <w:r>
        <w:rPr>
          <w:rFonts w:ascii="Times New Roman" w:cs="Times New Roman" w:eastAsia="Times New Roman" w:hAnsi="Times New Roman"/>
          <w:sz w:val="17"/>
          <w:szCs w:val="17"/>
          <w:color w:val="auto"/>
        </w:rPr>
        <w:t>") with respect to which the Tag Holder has elected to exercise the Tag-Along Right. The terms and conditions applicable to the Transfer by the Tag Holder pursuant to this Article 11.6 shall be the same as those applicable to a Dragged Shareholder pursuant to Article 11.5. If any Tag Holder has properly elected to exercise the Tag-Along Right, the number of Securities (calculated on as-converted basis) proposed to be Transferred by each Dragging Shareholder shall be reduced by a number equal to (i) the number of Tag Securities (on an as-converted basis) multiplied by (ii) a fraction, the numerator of which is the total number of Securities (on an as-converted basis) proposed to be Transferred by such Dragging Shareholder and the denominator of which is the total number of Securities (on an as-converted basis) proposed to be transferred by all of the Dragging Shareholders. If any Tag Holder has properly elected to exercise the Tag-Along Right and the Tag Transferee fails to purchase the Securities from such Tag Holder, the Dragging Shareholder(s) shall not consummate the Drag-Along Sale, and if purported to be made, such Drag-Along Sale shall be void.</w:t>
      </w:r>
    </w:p>
    <w:p>
      <w:pPr>
        <w:spacing w:after="0" w:line="177"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RIGHT BY PREFERRED SHAREHOLDERS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For purposes of this Article 12:</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Preferred Share(s) requested by a VE Financial Shareholder for redemption by the Company pursuant to this Article 12 are hereinafter referred to as the "</w:t>
      </w:r>
      <w:r>
        <w:rPr>
          <w:rFonts w:ascii="Times New Roman" w:cs="Times New Roman" w:eastAsia="Times New Roman" w:hAnsi="Times New Roman"/>
          <w:sz w:val="18"/>
          <w:szCs w:val="18"/>
          <w:b w:val="1"/>
          <w:bCs w:val="1"/>
          <w:color w:val="auto"/>
        </w:rPr>
        <w:t>Class A Redemption Shares</w:t>
      </w:r>
      <w:r>
        <w:rPr>
          <w:rFonts w:ascii="Times New Roman" w:cs="Times New Roman" w:eastAsia="Times New Roman" w:hAnsi="Times New Roman"/>
          <w:sz w:val="18"/>
          <w:szCs w:val="18"/>
          <w:color w:val="auto"/>
        </w:rPr>
        <w:t>"; any Class B Preferred Share(s) requested by a VE Financial Shareholder for redemption by the Company pursuant to this Article 12 are hereinafter referred to as the "</w:t>
      </w:r>
      <w:r>
        <w:rPr>
          <w:rFonts w:ascii="Times New Roman" w:cs="Times New Roman" w:eastAsia="Times New Roman" w:hAnsi="Times New Roman"/>
          <w:sz w:val="18"/>
          <w:szCs w:val="18"/>
          <w:b w:val="1"/>
          <w:bCs w:val="1"/>
          <w:color w:val="auto"/>
        </w:rPr>
        <w:t>Class B Redemption Shares</w:t>
      </w:r>
      <w:r>
        <w:rPr>
          <w:rFonts w:ascii="Times New Roman" w:cs="Times New Roman" w:eastAsia="Times New Roman" w:hAnsi="Times New Roman"/>
          <w:sz w:val="18"/>
          <w:szCs w:val="18"/>
          <w:color w:val="auto"/>
        </w:rPr>
        <w:t>" (collectively with the Class A Redemption Shares, the "</w:t>
      </w:r>
      <w:r>
        <w:rPr>
          <w:rFonts w:ascii="Times New Roman" w:cs="Times New Roman" w:eastAsia="Times New Roman" w:hAnsi="Times New Roman"/>
          <w:sz w:val="18"/>
          <w:szCs w:val="18"/>
          <w:b w:val="1"/>
          <w:bCs w:val="1"/>
          <w:color w:val="auto"/>
        </w:rPr>
        <w:t>VE Redemption Shares</w:t>
      </w:r>
      <w:r>
        <w:rPr>
          <w:rFonts w:ascii="Times New Roman" w:cs="Times New Roman" w:eastAsia="Times New Roman" w:hAnsi="Times New Roman"/>
          <w:sz w:val="18"/>
          <w:szCs w:val="18"/>
          <w:color w:val="auto"/>
        </w:rPr>
        <w:t>", and such requesting VE Financial Shareholder(s), the "</w:t>
      </w:r>
      <w:r>
        <w:rPr>
          <w:rFonts w:ascii="Times New Roman" w:cs="Times New Roman" w:eastAsia="Times New Roman" w:hAnsi="Times New Roman"/>
          <w:sz w:val="18"/>
          <w:szCs w:val="18"/>
          <w:b w:val="1"/>
          <w:bCs w:val="1"/>
          <w:color w:val="auto"/>
        </w:rPr>
        <w:t>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Shareholders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jc w:val="both"/>
        <w:ind w:left="1300" w:hanging="644"/>
        <w:spacing w:after="0" w:line="261"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B-1 Preferred Shares requested by the NIP Shareholders (in the case of a NIP Redemption Trigger Event) or by the VE Founder Holdcos (in the case of a NIP Special Redemption Trigger Event) for redemption by the Company pursuant to this Article 12 are hereinafter referred to as the "</w:t>
      </w:r>
      <w:r>
        <w:rPr>
          <w:rFonts w:ascii="Times New Roman" w:cs="Times New Roman" w:eastAsia="Times New Roman" w:hAnsi="Times New Roman"/>
          <w:sz w:val="18"/>
          <w:szCs w:val="18"/>
          <w:b w:val="1"/>
          <w:bCs w:val="1"/>
          <w:color w:val="auto"/>
        </w:rPr>
        <w:t>NIP Redemption Shares</w:t>
      </w:r>
      <w:r>
        <w:rPr>
          <w:rFonts w:ascii="Times New Roman" w:cs="Times New Roman" w:eastAsia="Times New Roman" w:hAnsi="Times New Roman"/>
          <w:sz w:val="18"/>
          <w:szCs w:val="18"/>
          <w:color w:val="auto"/>
        </w:rPr>
        <w:t>" and the NIP Shareholder(s) holding such NIP Redemption Shares, the "</w:t>
      </w:r>
      <w:r>
        <w:rPr>
          <w:rFonts w:ascii="Times New Roman" w:cs="Times New Roman" w:eastAsia="Times New Roman" w:hAnsi="Times New Roman"/>
          <w:sz w:val="18"/>
          <w:szCs w:val="18"/>
          <w:b w:val="1"/>
          <w:bCs w:val="1"/>
          <w:color w:val="auto"/>
        </w:rPr>
        <w:t>NIP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Shareholders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Shares</w:t>
      </w:r>
      <w:r>
        <w:rPr>
          <w:rFonts w:ascii="Times New Roman" w:cs="Times New Roman" w:eastAsia="Times New Roman" w:hAnsi="Times New Roman"/>
          <w:sz w:val="18"/>
          <w:szCs w:val="18"/>
          <w:color w:val="auto"/>
        </w:rPr>
        <w:t>" means, collectively, the NIP Redemption Shares and the VE Redemption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Shareholder</w:t>
      </w:r>
      <w:r>
        <w:rPr>
          <w:rFonts w:ascii="Times New Roman" w:cs="Times New Roman" w:eastAsia="Times New Roman" w:hAnsi="Times New Roman"/>
          <w:sz w:val="18"/>
          <w:szCs w:val="18"/>
          <w:color w:val="auto"/>
        </w:rPr>
        <w:t>" means, collectively, the NIP Redemption Shareholders and the VE Redemption Shareholders.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Within thirty (30) days after the VE Financial Shareholder(s) and/or the NIP Shareholder(s) become(s) aware of occurrence of a Redemption Trigger Event:</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VE Redemption Trigger Event, each VE Financial Shareholder may, by written notice to the Company, specify the relevant VE Redemption Trigger Event and request the Company to redeem any or all of the outstanding Class A Preferred Shares and/or Class B Preferred Shares (as the case may be) held by such VE Financial Shareholder in accordance with this Article 12; and/or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NIP Redemption Trigger Event, the NIP Shareholders (acting collectively) may, by written notice to the Company, specify the relevant NIP Redemption Trigger Event and request the Company to redeem all (but not some) of the outstanding Class B-1 Preferred Shares held by all NIP Shareholders in accordance with this Article 12; and</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NIP Special Redemption Trigger Event, the VE Founder Holdcos may (acting collectively), by written notice to the NIP Shareholders and the Company, specify the relevant NIP Special Redemption Trigger Event and request the Company to redeem all (but not some) of the outstanding Class B-1 Preferred Shares held by all NIP Shareholders in accordance with this Article 12.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a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Following receipt of any Redemption Request, the Company shall within thirty (30) days thereafter deliver a written notice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all other Preferred Shareholders, at the address last shown on the register of members of the Company for such holders. A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shall:</w:t>
      </w:r>
    </w:p>
    <w:p>
      <w:pPr>
        <w:spacing w:after="0" w:line="175" w:lineRule="exact"/>
        <w:rPr>
          <w:sz w:val="20"/>
          <w:szCs w:val="20"/>
          <w:color w:val="auto"/>
        </w:rPr>
      </w:pPr>
    </w:p>
    <w:p>
      <w:pPr>
        <w:ind w:left="1300" w:hanging="644"/>
        <w:spacing w:after="0" w:line="282" w:lineRule="auto"/>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redemption of VE Redemption Shares, specify the proposed VE Redemption Date and the VE Redemption Price (including the basis of its calculation pursuant to Article 12.4);</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redemption of NIP Redemption Shares, specify the proposed NIP Redemption Date and include drafts of all necessary documents required under Applicable Laws to be to be signed, executed and/or delivered by the NIP Redemption Shareholders (if any) for effecting the redemption of all NIP Redemption Shares in accordance with Articles 12.8 to 12.13;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each Redemption Shareholder to submit its share certificate(s) (or an affidavit in respect of any lost certificates) with respect to its Redemption Shares to the Company on or before the VE Redemption Date or the NIP Redemption Date (as the case may be).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by VE Redemption Shareholders</w:t>
      </w:r>
    </w:p>
    <w:p>
      <w:pPr>
        <w:spacing w:after="0" w:line="225"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redemption price for each VE Redemption Share (the "</w:t>
      </w:r>
      <w:r>
        <w:rPr>
          <w:rFonts w:ascii="Times New Roman" w:cs="Times New Roman" w:eastAsia="Times New Roman" w:hAnsi="Times New Roman"/>
          <w:sz w:val="18"/>
          <w:szCs w:val="18"/>
          <w:b w:val="1"/>
          <w:bCs w:val="1"/>
          <w:color w:val="auto"/>
        </w:rPr>
        <w:t>VE Redemption Price</w:t>
      </w:r>
      <w:r>
        <w:rPr>
          <w:rFonts w:ascii="Times New Roman" w:cs="Times New Roman" w:eastAsia="Times New Roman" w:hAnsi="Times New Roman"/>
          <w:sz w:val="18"/>
          <w:szCs w:val="18"/>
          <w:color w:val="auto"/>
        </w:rPr>
        <w:t>") redeemed pursuant to this Article 12 shall be equal to the higher of the following:</w:t>
      </w:r>
    </w:p>
    <w:p>
      <w:pPr>
        <w:spacing w:after="0" w:line="159" w:lineRule="exact"/>
        <w:rPr>
          <w:sz w:val="20"/>
          <w:szCs w:val="20"/>
          <w:color w:val="auto"/>
        </w:rPr>
      </w:pPr>
    </w:p>
    <w:p>
      <w:pPr>
        <w:ind w:left="1300" w:hanging="644"/>
        <w:spacing w:after="0"/>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calculated as follows:</w:t>
      </w:r>
    </w:p>
    <w:p>
      <w:pPr>
        <w:spacing w:after="0" w:line="22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 B – 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 Initial Subscription Price of the VE Redemption Share;</w:t>
      </w:r>
    </w:p>
    <w:p>
      <w:pPr>
        <w:spacing w:after="0" w:line="225" w:lineRule="exact"/>
        <w:rPr>
          <w:sz w:val="20"/>
          <w:szCs w:val="20"/>
          <w:color w:val="auto"/>
        </w:rPr>
      </w:pPr>
    </w:p>
    <w:p>
      <w:pPr>
        <w:jc w:val="both"/>
        <w:ind w:left="16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A x 8% x (number of days between the Initial Subscription Date and the VE Redemption Date)/365</w:t>
      </w:r>
      <w:r>
        <w:rPr>
          <w:rFonts w:ascii="Times New Roman" w:cs="Times New Roman" w:eastAsia="Times New Roman" w:hAnsi="Times New Roman"/>
          <w:sz w:val="18"/>
          <w:szCs w:val="18"/>
          <w:color w:val="auto"/>
        </w:rPr>
        <w:t>, being the amount of guaranteed return accrued with respect to the VE Redemption Share as of the VE Redemption Date by applying an annual interest rate of eight percent (8%); and</w:t>
      </w:r>
    </w:p>
    <w:p>
      <w:pPr>
        <w:spacing w:after="0" w:line="171" w:lineRule="exact"/>
        <w:rPr>
          <w:sz w:val="20"/>
          <w:szCs w:val="20"/>
          <w:color w:val="auto"/>
        </w:rPr>
      </w:pPr>
    </w:p>
    <w:p>
      <w:pPr>
        <w:jc w:val="both"/>
        <w:ind w:left="16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 the total amount of cash distributed by the Company and received by the VE Redemption Shareholder per VE Redemption Share (whether by way of dividend or other forms of distribution to Members as permitted by Applicable Laws) during the period between the Initial Subscription Date and the VE Redemption Date; 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ind w:left="1300" w:hanging="644"/>
        <w:spacing w:after="0"/>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calculated as follows: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 x ( E / F) / 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 the net asset value of the Company (as audited by an Independent Valuer);</w:t>
      </w:r>
    </w:p>
    <w:p>
      <w:pPr>
        <w:spacing w:after="0" w:line="225" w:lineRule="exact"/>
        <w:rPr>
          <w:sz w:val="20"/>
          <w:szCs w:val="20"/>
          <w:color w:val="auto"/>
        </w:rPr>
      </w:pPr>
    </w:p>
    <w:p>
      <w:pPr>
        <w:ind w:left="1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 an amount equivalent to such portion of the Company's issued share capital that is attributable to the total subscription monies paid by the VE Redemption Shareholders in respect of the total outstanding VE Redemption Shares in issue;</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 the total amount of issued share capital in the Company; and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 the total number of VE Redemption Shares in issue.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The redemption of any Class B Redemption Shares pursuant to this Article 12 shall take place at such date and location designated by all the VE Directors, but shall in any event take place after the NIP Redemption Date (the "</w:t>
      </w:r>
      <w:r>
        <w:rPr>
          <w:rFonts w:ascii="Times New Roman" w:cs="Times New Roman" w:eastAsia="Times New Roman" w:hAnsi="Times New Roman"/>
          <w:sz w:val="18"/>
          <w:szCs w:val="18"/>
          <w:b w:val="1"/>
          <w:bCs w:val="1"/>
          <w:color w:val="auto"/>
        </w:rPr>
        <w:t>Class B Redemption Date</w:t>
      </w:r>
      <w:r>
        <w:rPr>
          <w:rFonts w:ascii="Times New Roman" w:cs="Times New Roman" w:eastAsia="Times New Roman" w:hAnsi="Times New Roman"/>
          <w:sz w:val="18"/>
          <w:szCs w:val="18"/>
          <w:color w:val="auto"/>
        </w:rPr>
        <w:t>"). On the Class B Redemption Date, subject to Applicable Laws, the Company shall, from any source of assets (other than the shares of the NIP Group Companies) or funds legally available therefor (the "</w:t>
      </w:r>
      <w:r>
        <w:rPr>
          <w:rFonts w:ascii="Times New Roman" w:cs="Times New Roman" w:eastAsia="Times New Roman" w:hAnsi="Times New Roman"/>
          <w:sz w:val="18"/>
          <w:szCs w:val="18"/>
          <w:b w:val="1"/>
          <w:bCs w:val="1"/>
          <w:color w:val="auto"/>
        </w:rPr>
        <w:t>VE Redemption Funds</w:t>
      </w:r>
      <w:r>
        <w:rPr>
          <w:rFonts w:ascii="Times New Roman" w:cs="Times New Roman" w:eastAsia="Times New Roman" w:hAnsi="Times New Roman"/>
          <w:sz w:val="18"/>
          <w:szCs w:val="18"/>
          <w:color w:val="auto"/>
        </w:rPr>
        <w:t>"), redeem each Class B Redemption Share that has been submitted for redemption by paying in cash therefor the VE Redemption Price, against such certificates representing such Class B Redemption Shares (or an affidavit in respect of any lost certificates) as surrendered by the VE Redemption Shareholder (by way of delivery of such original copies of the same to the Company's registered office). For the avoidance of doubt, none of the assets and funds of the NIP Group Companies shall form part of the VE Redemption Funds.</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The redemption of any Class A Redemption Shares pursuant to this Article 12 shall take place at such date and location designated by all the VE Directors, but shall in any event take place after the NIP Redemption Date and the Class B Redemption Date (the "</w:t>
      </w:r>
      <w:r>
        <w:rPr>
          <w:rFonts w:ascii="Times New Roman" w:cs="Times New Roman" w:eastAsia="Times New Roman" w:hAnsi="Times New Roman"/>
          <w:sz w:val="18"/>
          <w:szCs w:val="18"/>
          <w:b w:val="1"/>
          <w:bCs w:val="1"/>
          <w:color w:val="auto"/>
        </w:rPr>
        <w:t>Class A Redemption Date</w:t>
      </w:r>
      <w:r>
        <w:rPr>
          <w:rFonts w:ascii="Times New Roman" w:cs="Times New Roman" w:eastAsia="Times New Roman" w:hAnsi="Times New Roman"/>
          <w:sz w:val="18"/>
          <w:szCs w:val="18"/>
          <w:color w:val="auto"/>
        </w:rPr>
        <w:t>", collectively with the Class B Redemption Date, the "</w:t>
      </w:r>
      <w:r>
        <w:rPr>
          <w:rFonts w:ascii="Times New Roman" w:cs="Times New Roman" w:eastAsia="Times New Roman" w:hAnsi="Times New Roman"/>
          <w:sz w:val="18"/>
          <w:szCs w:val="18"/>
          <w:b w:val="1"/>
          <w:bCs w:val="1"/>
          <w:color w:val="auto"/>
        </w:rPr>
        <w:t>VE Redemption Date</w:t>
      </w:r>
      <w:r>
        <w:rPr>
          <w:rFonts w:ascii="Times New Roman" w:cs="Times New Roman" w:eastAsia="Times New Roman" w:hAnsi="Times New Roman"/>
          <w:sz w:val="18"/>
          <w:szCs w:val="18"/>
          <w:color w:val="auto"/>
        </w:rPr>
        <w:t>"). On the Class A Redemption Date, subject to Applicable Laws, the Company shall, from any remaining VE Redemption Funds, redeem each Class A Redemption Share that has been submitted for redemption by paying in cash therefor the VE Redemption Price, against such certificates representing such Class A Redemption Shares (or an affidavit in respect of any lost certificates) as surrendered by the VE Redemption Shareholder (by way of delivery of such original copies of the same to the Company's registered office).</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All VE Redemption Funds shall be paid and applied on the VE Redemption Date for payment to the VE Redemption Shareholders. From and after a respective VE Redemption Date, if the VE Redemption Price has been received in full by the VE Redemption Shareholder, all rights of such VE Redemption Shareholder shall cease with respect to such VE Redemption Shares, and such VE Redemption Shares shall be cancelled and not thereafter be transferred or be deemed outstanding for any purpose whatsoever.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by NIP Redemption Shareholders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The total redemption price for all NIP Redemption Shares (the "</w:t>
      </w:r>
      <w:r>
        <w:rPr>
          <w:rFonts w:ascii="Times New Roman" w:cs="Times New Roman" w:eastAsia="Times New Roman" w:hAnsi="Times New Roman"/>
          <w:sz w:val="18"/>
          <w:szCs w:val="18"/>
          <w:b w:val="1"/>
          <w:bCs w:val="1"/>
          <w:color w:val="auto"/>
        </w:rPr>
        <w:t>NIP Redemption Price</w:t>
      </w:r>
      <w:r>
        <w:rPr>
          <w:rFonts w:ascii="Times New Roman" w:cs="Times New Roman" w:eastAsia="Times New Roman" w:hAnsi="Times New Roman"/>
          <w:sz w:val="18"/>
          <w:szCs w:val="18"/>
          <w:color w:val="auto"/>
        </w:rPr>
        <w:t xml:space="preserve">") shall be equivalent to the then net asset value of all NIP Group Companies in aggregate as of the NIP Redemption Date. Payment of the NIP Redemption Price shall be settled by way of redemption in kind of all the shares held by the Company in the NIP Group Companies to the NIP Redemption Shareholders (the </w:t>
      </w:r>
      <w:r>
        <w:rPr>
          <w:rFonts w:ascii="Times New Roman" w:cs="Times New Roman" w:eastAsia="Times New Roman" w:hAnsi="Times New Roman"/>
          <w:sz w:val="18"/>
          <w:szCs w:val="18"/>
          <w:b w:val="1"/>
          <w:bCs w:val="1"/>
          <w:color w:val="auto"/>
        </w:rPr>
        <w:t>"NIP Share Distribution</w:t>
      </w:r>
      <w:r>
        <w:rPr>
          <w:rFonts w:ascii="Times New Roman" w:cs="Times New Roman" w:eastAsia="Times New Roman" w:hAnsi="Times New Roman"/>
          <w:sz w:val="18"/>
          <w:szCs w:val="18"/>
          <w:color w:val="auto"/>
        </w:rPr>
        <w:t>"). For the avoidance of doubt, the NIP Share Distribution constitutes full settlement of the NIP Redemption Price, and no cash, other assets or funds of the Company shall be payable by the Company whatsoever to satisfy the payment of the NIP Redemption Price.</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The NIP Share Distribution shall take place within thirty (30) days of the date of the Redemption Notice (or such later date as may be agreed in writing by the NIP Redemption Shareholders and the Company may mutually agree in writing), but shall in any event take place prior to the VE Redemption Date (the "</w:t>
      </w:r>
      <w:r>
        <w:rPr>
          <w:rFonts w:ascii="Times New Roman" w:cs="Times New Roman" w:eastAsia="Times New Roman" w:hAnsi="Times New Roman"/>
          <w:sz w:val="18"/>
          <w:szCs w:val="18"/>
          <w:b w:val="1"/>
          <w:bCs w:val="1"/>
          <w:color w:val="auto"/>
        </w:rPr>
        <w:t>NIP Redemption Date</w:t>
      </w:r>
      <w:r>
        <w:rPr>
          <w:rFonts w:ascii="Times New Roman" w:cs="Times New Roman" w:eastAsia="Times New Roman" w:hAnsi="Times New Roman"/>
          <w:sz w:val="18"/>
          <w:szCs w:val="18"/>
          <w:color w:val="auto"/>
        </w:rPr>
        <w:t>"). On the NIP Redemption Date, subject to Applicable Laws, the Company shall take all Necessary Actions to effect the NIP Share Distribution (including but not limited to obtaining all necessary corporate approval for the NIP Share Distribution and procuring the due execution of all requisite instruments and documents by the relevant parties).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12.10</w:t>
        <w:tab/>
        <w:t>In the event that the Company is unable to effect the NIP Share Distribution under the Applicable Laws, the Company shall, subject to Applicable Laws, transfer the shares in each of the NIP Group Companies to the NIP Redemption Shareholders at nil consideration, on a pro-rata basis with respect to the Equity Ratio of such NIP Redemption Shareholders (the "</w:t>
      </w:r>
      <w:r>
        <w:rPr>
          <w:rFonts w:ascii="Times New Roman" w:cs="Times New Roman" w:eastAsia="Times New Roman" w:hAnsi="Times New Roman"/>
          <w:sz w:val="18"/>
          <w:szCs w:val="18"/>
          <w:b w:val="1"/>
          <w:bCs w:val="1"/>
          <w:color w:val="auto"/>
        </w:rPr>
        <w:t>NIP Share Transfer</w:t>
      </w:r>
      <w:r>
        <w:rPr>
          <w:rFonts w:ascii="Times New Roman" w:cs="Times New Roman" w:eastAsia="Times New Roman" w:hAnsi="Times New Roman"/>
          <w:sz w:val="18"/>
          <w:szCs w:val="18"/>
          <w:color w:val="auto"/>
        </w:rPr>
        <w:t>") and concurrently redeem the NIP Redemption Shares at nominal value in accordance to Applicable Laws.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12.11</w:t>
        <w:tab/>
        <w:t>Upon completion of the NIP De-Merger, all rights of the NIP Redemption Shareholders shall cease with respect to the NIP Redemption Shares, and such NIP Redemption Shares shall be cancelled and not thereafter be transferred or be deemed outstanding for any purpose whatsoever (save in relation to the rights of such NIP Redemption Shareholders under Article 12.12, where applicable).</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In the case of a NIP Redemption Trigger Event (but not a NIP Special Redemption Trigger Event, for the avoidance of doubt), the Company agrees and undertakes to pay the NIP Redemption Dividend (if any) in cash to the NIP Redemption Shareholders based on their respective Equity Ratio as of the date of occurrence of the NIP Redemption Trigger Event (the "</w:t>
      </w:r>
      <w:r>
        <w:rPr>
          <w:rFonts w:ascii="Times New Roman" w:cs="Times New Roman" w:eastAsia="Times New Roman" w:hAnsi="Times New Roman"/>
          <w:sz w:val="18"/>
          <w:szCs w:val="18"/>
          <w:b w:val="1"/>
          <w:bCs w:val="1"/>
          <w:color w:val="auto"/>
        </w:rPr>
        <w:t>NIP Dividend Distribution</w:t>
      </w:r>
      <w:r>
        <w:rPr>
          <w:rFonts w:ascii="Times New Roman" w:cs="Times New Roman" w:eastAsia="Times New Roman" w:hAnsi="Times New Roman"/>
          <w:sz w:val="18"/>
          <w:szCs w:val="18"/>
          <w:color w:val="auto"/>
        </w:rPr>
        <w:t>"), provided that if the Company does not have sufficient funds to satisfy payment of the NIP Dividend Distribution and the VE Redemption Price for all VE Redemption Shares at the same time, then the NIP Dividend Distribution shall only take place after completion of the redemption of all VE Redemption Shares, and the Company shall thereafter use all of its remaining assets or funds (to the extent legally available) to settle the NIP Dividend Distribution.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funds for redemption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6"/>
          <w:szCs w:val="16"/>
          <w:color w:val="auto"/>
        </w:rPr>
        <w:t>If:</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NIP Redemption Date, the Company is unable to (i) effect the NIP De-Merger, (ii) settle payment of the NIP Redemption Dividend, and/or (iii) otherwise fulfil any of its obligations under this Article 12 (collectively, the "Redemption Obligations"), whether due to restrictions under Applicable Laws or any other reasons; and/or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VE Redemption Date, there remain any outstanding VE Redemption Shares to be redeemed by the Company, or the Company has yet to pay all VE Redemption Shareholders in full with respect to all outstanding VE Redemption Shares by reason of insufficient VE Redemption Funds,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w:t>
      </w:r>
    </w:p>
    <w:p>
      <w:pPr>
        <w:spacing w:after="0" w:line="225" w:lineRule="exact"/>
        <w:rPr>
          <w:sz w:val="20"/>
          <w:szCs w:val="20"/>
          <w:color w:val="auto"/>
        </w:rPr>
      </w:pPr>
    </w:p>
    <w:p>
      <w:pPr>
        <w:ind w:left="1300" w:hanging="644"/>
        <w:spacing w:after="0"/>
        <w:tabs>
          <w:tab w:leader="none" w:pos="1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Company shall, and each Member shall approve the Company to:</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assets or funds of the Company that becomes legally available following the NIP Redemption Date to effect the NIP De-Merger;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Necessary Actions permissible under Applicable Laws to fulfil its Redemption Obligations.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in any event after the NIP Redemption Date, the Company shall, and each Shareholder shall procure the Company to:</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use all the VE Redemption Funds to pay to the Class B Preferred Shareholders who have made the Redemption Request on a pro-rata basis with reference to the amount of the VE Redemption Price each such Class B Preferred Shareholders is otherwise entitled to receive;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after the distributions in foregoing (i) are made in full and if there are any remaining VE Redemption Funds, pay to the Class A Preferred Shareholders who have made the Redemption Request (the “</w:t>
      </w:r>
      <w:r>
        <w:rPr>
          <w:rFonts w:ascii="Times New Roman" w:cs="Times New Roman" w:eastAsia="Times New Roman" w:hAnsi="Times New Roman"/>
          <w:sz w:val="18"/>
          <w:szCs w:val="18"/>
          <w:b w:val="1"/>
          <w:bCs w:val="1"/>
          <w:color w:val="auto"/>
        </w:rPr>
        <w:t>Class A Redemption Shareholders</w:t>
      </w:r>
      <w:r>
        <w:rPr>
          <w:rFonts w:ascii="Times New Roman" w:cs="Times New Roman" w:eastAsia="Times New Roman" w:hAnsi="Times New Roman"/>
          <w:sz w:val="18"/>
          <w:szCs w:val="18"/>
          <w:color w:val="auto"/>
        </w:rPr>
        <w:t>”) on a pro-rata basis with reference to the amount of Redemption Price each such Class A Redemption Shareholders is otherwise entitled to receive; and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Necessary Actions permissible under Applicable Laws to fulfil its Redemption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4" w:name="page345"/>
    <w:bookmarkEnd w:id="344"/>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12.14</w:t>
        <w:tab/>
        <w:t>Upon the completion of distribution of the available redemption funds or upon the completion of the sale and purchase of the VE Redemption Shares to be acquired by the VE Founder Parties in accordance with Clause 16.17 of the Shareholders Agreement, all rights of such VE Redemption Shareholders shall cease with respect to such VE Redemption Shares, and such VE Redemption Shares shall be cancelled and not thereafter be transferred or be deemed outstanding for any purpose whatsoever in case of redemption.</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12.15</w:t>
        <w:tab/>
        <w:t>The redemption rights provided under this Article 12 shall be terminated upon the consummation of a Qualified IPO or the occurrence of a Liquidation Event.</w:t>
      </w:r>
    </w:p>
    <w:p>
      <w:pPr>
        <w:spacing w:after="0" w:line="158" w:lineRule="exact"/>
        <w:rPr>
          <w:sz w:val="20"/>
          <w:szCs w:val="20"/>
          <w:color w:val="auto"/>
        </w:rPr>
      </w:pPr>
    </w:p>
    <w:p>
      <w:pPr>
        <w:ind w:left="660" w:hanging="652"/>
        <w:spacing w:after="0"/>
        <w:tabs>
          <w:tab w:leader="none" w:pos="66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PREFERENCE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Upon any liquidation, dissolution, or winding up of the Company, whether voluntary or involuntary (a "</w:t>
      </w:r>
      <w:r>
        <w:rPr>
          <w:rFonts w:ascii="Times New Roman" w:cs="Times New Roman" w:eastAsia="Times New Roman" w:hAnsi="Times New Roman"/>
          <w:sz w:val="17"/>
          <w:szCs w:val="17"/>
          <w:b w:val="1"/>
          <w:bCs w:val="1"/>
          <w:color w:val="auto"/>
        </w:rPr>
        <w:t>Liquidation Event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line="282" w:lineRule="auto"/>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redeem all of the outstanding Class B-1 Preferred Shares held by all NIP Shareholders by completing the NIP De-Merger in accordance with Article 12.</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except for all shares of the NIP Group Companies, no other assets or funds shall be payable for the redemption of the Class B-1 Preferred Shares in case of Liquidation Event.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NIP De-Merger for purposes of Article 13.1(a), all assets and funds of the Company thereafter legally available for distribution to the remaining Shareholders (the "</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shall be distributed as follows: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in preference to any distribution or payment to the Class A Preferred Shareholders and the Ordinary Shareholders, each Class B Preferred Shareholder shall be entitled to receive, on parity with all other Class B Preferred Shareholders and on a pro rata basis (calculated on a fully diluted and as-converted basis), an amount equal to the aggregate total of the Initial Subscription Price with respect to each Preferred Share held by such Class B Preferred Shareholder ("</w:t>
      </w:r>
      <w:r>
        <w:rPr>
          <w:rFonts w:ascii="Times New Roman" w:cs="Times New Roman" w:eastAsia="Times New Roman" w:hAnsi="Times New Roman"/>
          <w:sz w:val="18"/>
          <w:szCs w:val="18"/>
          <w:b w:val="1"/>
          <w:bCs w:val="1"/>
          <w:color w:val="auto"/>
        </w:rPr>
        <w:t>Class B Preferred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If, upon such Liquidation Event, the Liquidation Funds are insufficient to pay all of the Class B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their respective Class B Preferred Liquidation Amount, then the Liquidation Funds shall be distributed among the Class B Preferred Shareholders on a pro rata basis (calculated on a fully diluted and as-converted basis) with respect to the full Class B Preferred Liquidation Amount which each Class B Preferred Shareholder shall otherwise be entitled to receive under this Article 13.1.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5" w:name="page346"/>
    <w:bookmarkEnd w:id="345"/>
    <w:p>
      <w:pPr>
        <w:jc w:val="both"/>
        <w:ind w:left="1960" w:hanging="656"/>
        <w:spacing w:after="0" w:line="254" w:lineRule="auto"/>
        <w:tabs>
          <w:tab w:leader="none" w:pos="1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distribution or payment in full of the Class B Preferred Liquidation Amount pursuant to Article 13.1(c)(i), each Class A Preferred Shareholder shall be entitled to receive, on parity with all other Class A Preferred Shareholders and on a pro rata basis, an amount equal to the aggregate total of the Initial Subscription Price with respect to each Preferred Share held by such Class A Preferred Shareholder ("</w:t>
      </w:r>
      <w:r>
        <w:rPr>
          <w:rFonts w:ascii="Times New Roman" w:cs="Times New Roman" w:eastAsia="Times New Roman" w:hAnsi="Times New Roman"/>
          <w:sz w:val="18"/>
          <w:szCs w:val="18"/>
          <w:b w:val="1"/>
          <w:bCs w:val="1"/>
          <w:color w:val="auto"/>
        </w:rPr>
        <w:t>Class A Preferred Liquidation Amount</w:t>
      </w:r>
      <w:r>
        <w:rPr>
          <w:rFonts w:ascii="Times New Roman" w:cs="Times New Roman" w:eastAsia="Times New Roman" w:hAnsi="Times New Roman"/>
          <w:sz w:val="18"/>
          <w:szCs w:val="18"/>
          <w:color w:val="auto"/>
        </w:rPr>
        <w:t>", together with Class B Preferred Liquidation Amount, “</w:t>
      </w:r>
      <w:r>
        <w:rPr>
          <w:rFonts w:ascii="Times New Roman" w:cs="Times New Roman" w:eastAsia="Times New Roman" w:hAnsi="Times New Roman"/>
          <w:sz w:val="18"/>
          <w:szCs w:val="18"/>
          <w:b w:val="1"/>
          <w:bCs w:val="1"/>
          <w:color w:val="auto"/>
        </w:rPr>
        <w:t>Preferred Liquidation Amount</w:t>
      </w:r>
      <w:r>
        <w:rPr>
          <w:rFonts w:ascii="Times New Roman" w:cs="Times New Roman" w:eastAsia="Times New Roman" w:hAnsi="Times New Roman"/>
          <w:sz w:val="18"/>
          <w:szCs w:val="18"/>
          <w:color w:val="auto"/>
        </w:rPr>
        <w:t>”); if, upon such Liquidation Event, the Liquidation Funds are insufficient to pay all of the Class A Preferred Shareholders their respective Class A Preferred Liquidation Amount, then the Liquidation Funds shall be distributed among the Class A Preferred Shareholders on a pro-rata basis with respect to the full Class A Preferred Liquidation Amount which each Preferred Class A Shareholders shall otherwise be entitled to receive under this Article 13.1; and</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distribution or payment in full of the Preferred Liquidation Amount of all Preferred Shareholders in accordance with this Article 13.1, any remaining amount of the Liquidation Funds shall be distributed among all the Shareholders in proportion to such number of Ordinary Shares (calculated on an as-converted basis) held by them.</w:t>
      </w:r>
    </w:p>
    <w:p>
      <w:pPr>
        <w:spacing w:after="0" w:line="176"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 Change of Control shall be treated as a Liquidation Event pursuant to Article 13.1 unless it is a Drag-Along Sale. All the proceeds or consideration received as a result of a Change of Control shall be distributed pursuant to Article 13.1.</w:t>
      </w:r>
    </w:p>
    <w:p>
      <w:pPr>
        <w:spacing w:after="0" w:line="158" w:lineRule="exact"/>
        <w:rPr>
          <w:sz w:val="20"/>
          <w:szCs w:val="20"/>
          <w:color w:val="auto"/>
        </w:rPr>
      </w:pPr>
    </w:p>
    <w:p>
      <w:pPr>
        <w:ind w:left="660" w:hanging="652"/>
        <w:spacing w:after="0"/>
        <w:tabs>
          <w:tab w:leader="none" w:pos="66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Transmission of Shares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Member dies, becomes bankrupt, commences liquidation or is dissolved, the only person that the Company will recognise as having any title to, or interest in, that Member’s Share (other than the Member) are:</w:t>
      </w:r>
    </w:p>
    <w:p>
      <w:pPr>
        <w:spacing w:after="0" w:line="162" w:lineRule="exact"/>
        <w:rPr>
          <w:sz w:val="20"/>
          <w:szCs w:val="20"/>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deceased Member was a joint holder, the survivor;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deceased Member was a sole or the only surviving holder, the personal representative of that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in bankruptcy or other person succeeding to the Member’s interest by operation of law,</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but nothing in these Articles releases the estate of a deceased Member, or any other successor by operation of law, from any liability in respect of any Share held by that Member solely or jointly.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Election by persons entitled on transmission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person becoming entitled to a Share as a result of the death, bankruptcy, liquidation or dissolution of a Member (or in any other way than by transfer) may, upon such evidence being produced as may from time to time be required by the Directors, elect either to become registered as the holder of the Share or nominate another person to be registered as the holder of that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Manner of election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person who makes an election under the preceding Article shall give written notice to the Company to that effect, but the Directors shall, in either case, have the same right to refuse registration as they would have had in the case of a transfer of the Share by that Member before his death, bankruptcy, liquidation or dissolution, as the case may be.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b w:val="1"/>
          <w:bCs w:val="1"/>
          <w:color w:val="auto"/>
        </w:rPr>
        <w:t>Rights of persons entitled by transmission</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 person becoming entitled to a Share by reason of the death, bankruptcy, liquidation or dissolution of a Member (or in any other case than by transfer) shall be entitled to the same Dividends and other rights to which he would be entitled if he were the registered holder of the Share. However, the person shall not, before being registered as a Member in respect of the Share, be entitled in respect of it to attend or vote at any meeting of the Company and the Directors may at any time give notice requiring any such person to elect either to be registered himself or to have some person nominated by him registered as the holder (and the Directors shall, in either case, have the same right to refuse registration as they would have had in the case of a transfer of the Share by that Member before his death, bankruptcy, liquidation or dissolution, as the case may be). If the notice is not complied with within 90 days the Directors may withhold payment of all Dividends, bonuses or other monies payable in respect of the Share until the requirements of the notice have been complied with.</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b w:val="1"/>
          <w:bCs w:val="1"/>
          <w:color w:val="auto"/>
        </w:rPr>
        <w:t>No surviving Member or Director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the foregoing, where there is no Director in office and the only persons interested in the issued Shares are entitled on transmission, such persons shall be treated as if already registered as the holders of such Shares, but solely for the purpose of passing an Ordinary Resolution appointing one or more Directors.</w:t>
      </w:r>
    </w:p>
    <w:p>
      <w:pPr>
        <w:spacing w:after="0" w:line="172" w:lineRule="exact"/>
        <w:rPr>
          <w:sz w:val="20"/>
          <w:szCs w:val="20"/>
          <w:color w:val="auto"/>
        </w:rPr>
      </w:pPr>
    </w:p>
    <w:p>
      <w:pPr>
        <w:ind w:left="660" w:hanging="652"/>
        <w:spacing w:after="0"/>
        <w:tabs>
          <w:tab w:leader="none" w:pos="66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fails to pay any call or instalment of a call on the day appointed for payment thereof, the Directors may, at any time thereafter during such time as any part of such call or instalment remains unpaid, serve a notice on such Member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name a further day (not earlier than the expiration of fourteen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such notice are not complied with, any share in respect of which the notice has been given may at any time thereafter, before the payment required by the notice has been made, be forfeited by a resolution of the Directors to that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7" w:name="page348"/>
    <w:bookmarkEnd w:id="347"/>
    <w:p>
      <w:pPr>
        <w:ind w:left="644" w:hanging="644"/>
        <w:spacing w:after="0" w:line="282"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nominal amount of the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amount of the Share, or by way of premium, as if the same had been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convert any paid-up Shares into stock, and reconvert any stock into paid-up Shares of any denomination.</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may transfer the same, or any part thereof, in the same manner and subject to the same terms as and subject to which the Shares from which the stock arose might prior to the conversion have been transferred, or as near thereto as circumstances admit; but the Directors may, from time to time, fix the minimum amount of stock transferrable and restrict or forbid the transfer of fractions of that minimum, but the minimum shall not exceed the nominal amount of the Shares from which the stock arose.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shall, according to the amount of the stock held by them, have the same rights, privileges and advantages as regards dividends, voting at meetings of the Company and other matters as if they held the Shares from which the stock arose, but no such privilege or advantage (except participation in the dividends and profits of the Company) shall be conferred by any such aliquot part of stock as would not, if existing Shares, have conferred that privilege or advantage.</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 the regulations of the Company as are applicable to paid-up Shares shall apply to stock, and the words “share” and “member” therein shall include “stock” and “stockholder”.</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8" w:name="page349"/>
    <w:bookmarkEnd w:id="348"/>
    <w:p>
      <w:pPr>
        <w:ind w:left="660" w:hanging="652"/>
        <w:spacing w:after="0"/>
        <w:tabs>
          <w:tab w:leader="none" w:pos="66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SURRENDER AND PURCHASE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Surrender of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may be surrendered in accordance with the relevant provisions of the Companies 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color w:val="auto"/>
        </w:rPr>
        <w:t>Power of the Company to purchase its Shares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any Requisite Approvals and to any rights conferred on the holders of any class of Shares, the Company shall have the power to purchase all or any of its Shares on such terms as the Directors may agree with the holders of such Shares. The Company may make a payment in respect of the purchase of its own Shares in any manner permitted by the Companies Act, including out of capital. Purchase proceeds may be paid in cash and/or in-kind.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Holding Shares in treasury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Directors may hold and dispose of any repurchased, redeemed or surrendered Shares in treasury in accordance with the relevant provisions of the Companies Act.</w:t>
      </w:r>
    </w:p>
    <w:p>
      <w:pPr>
        <w:spacing w:after="0" w:line="158" w:lineRule="exact"/>
        <w:rPr>
          <w:sz w:val="20"/>
          <w:szCs w:val="20"/>
          <w:color w:val="auto"/>
        </w:rPr>
      </w:pPr>
    </w:p>
    <w:p>
      <w:pPr>
        <w:ind w:left="660" w:hanging="652"/>
        <w:spacing w:after="0"/>
        <w:tabs>
          <w:tab w:leader="none" w:pos="6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ASSISTANCE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give financial assistance directly or indirectly for the purpose of, or in connection with, the acquisition made or to be made by any person of any Shares or of shares in any Member.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RIGHTS AND CLASS MEETINGS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Variation of class 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the Companies Act and to any rights conferred on the holders of any class of Shares, whether or not Shares are divided into more than one class, all or any of the rights attached to a class of Shares may be varied in such manner as those rights may provide or, if no such provision is made, either: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Directors, provided that such variation is not materially adverse to the rights of the holders of such Shares (as determined by the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consent in writing of holders of two-thirds of the issued Shares of that class; or</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 the sanction of a resolution passed at a separate meeting of the holders of the Shares of that class by a two-thirds majority of the holders of the Shares of that class present and voting at such meeting (whether in person or by proxy).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Treatment of classes of Shares by Directors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Directors may for the purposes of this Article, treat two or more, or all, of the classes of Shares as forming one class of Shares if the Directors consider that such classes of Shares would be affected by the proposed variation in the same way.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9" w:name="page350"/>
    <w:bookmarkEnd w:id="34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Class rights not deemed to be varied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where expressly provided by the terms of the issue of the Shares of that class, the rights attached to any class of Shares are not taken to be varied by:</w:t>
      </w:r>
    </w:p>
    <w:p>
      <w:pPr>
        <w:spacing w:after="0" w:line="162" w:lineRule="exact"/>
        <w:rPr>
          <w:sz w:val="20"/>
          <w:szCs w:val="20"/>
          <w:color w:val="auto"/>
        </w:rPr>
      </w:pPr>
    </w:p>
    <w:p>
      <w:pPr>
        <w:ind w:left="1300" w:hanging="644"/>
        <w:spacing w:after="0"/>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issue of further Shares ranking equally with or subordinate to them;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or surrender of any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b w:val="1"/>
          <w:bCs w:val="1"/>
          <w:color w:val="auto"/>
        </w:rPr>
        <w:t>Class meetings</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 xml:space="preserve">The provisions of these Articles relating to general meetings of the Company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class meeting, except that the quorum shall be one or more Members that together hold at least one third of the Shares of that class.</w:t>
      </w:r>
    </w:p>
    <w:p>
      <w:pPr>
        <w:spacing w:after="0" w:line="156" w:lineRule="exact"/>
        <w:rPr>
          <w:sz w:val="20"/>
          <w:szCs w:val="20"/>
          <w:color w:val="auto"/>
        </w:rPr>
      </w:pPr>
    </w:p>
    <w:p>
      <w:pPr>
        <w:jc w:val="both"/>
        <w:ind w:left="660" w:right="5260" w:hanging="652"/>
        <w:spacing w:after="0" w:line="532" w:lineRule="auto"/>
        <w:tabs>
          <w:tab w:leader="none" w:pos="660" w:val="left"/>
        </w:tabs>
        <w:numPr>
          <w:ilvl w:val="0"/>
          <w:numId w:val="3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RECOGNITION OF TRUSTS OR THIRD PARTY INTERESTS </w:t>
      </w:r>
      <w:r>
        <w:rPr>
          <w:rFonts w:ascii="Times New Roman" w:cs="Times New Roman" w:eastAsia="Times New Roman" w:hAnsi="Times New Roman"/>
          <w:sz w:val="17"/>
          <w:szCs w:val="17"/>
          <w:color w:val="auto"/>
        </w:rPr>
        <w:t>Except as required by these Articles or the Companies Act, the Company:</w:t>
      </w:r>
    </w:p>
    <w:p>
      <w:pPr>
        <w:spacing w:after="0" w:line="1" w:lineRule="exact"/>
        <w:rPr>
          <w:rFonts w:ascii="Times New Roman" w:cs="Times New Roman" w:eastAsia="Times New Roman" w:hAnsi="Times New Roman"/>
          <w:sz w:val="17"/>
          <w:szCs w:val="17"/>
          <w:b w:val="1"/>
          <w:bCs w:val="1"/>
          <w:color w:val="auto"/>
        </w:rPr>
      </w:pPr>
    </w:p>
    <w:p>
      <w:pPr>
        <w:ind w:left="1300" w:hanging="644"/>
        <w:spacing w:after="0"/>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recognise a person as holding any Share on any trust, even if the Company has notice of the trust;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recognise, and is not bound by, any interest in or claim to any Share, except for the registered holder’s absolute legal ownership of the Share, even if the Company has notice of that interest or claim.</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Lien on Shares generally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shall have a first and paramount lien on all Shares registered in the name of a Member (whether solely or jointly with others) for all debts, liabilities or amounts payable to or with the Company (whether presently payable or not) by such Member or his estate, either alone or jointly with any other person, whether a Member or not, but the Directors may at any time determine any Share to be wholly or in part exempt from the provisions of this Article. The Company’s lien on a Share is released if a transfer of that Share is registered.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Enforcement of lien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may sell, on such terms and in such manner as the Directors think fit, any Share on which the Company has a lien, if a sum in respect of which the lien exists is presently payable, and is not paid within 14 Clear Days after notice has been given by the Company to the holder of the Share (or to any other person entitled to the Share by reason of the death, bankruptcy, liquidation or dissolution of the holder of the Shares) demanding payment of that amount and giving notice of intention to sell the Share if such payment is not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0" w:name="page351"/>
    <w:bookmarkEnd w:id="35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Completion of sale under lien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To give effect to a sale of Shares under a lien the Directors may authorise any person to execute an instrument of transfer in respect of the Shares to be sold to, or in accordance with the directions of, the relevant purchaser. The purchaser or his nominee shall be registered as the holder of the Shares comprised in any such transfer, and he shall not be bound to see to the application of any consideration provided for the Shares, nor will the purchaser’s title to the Shares be affected by any irregularity or invalidity in connection with the sale or the exercise of the Company's power of sale under these Articles.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Application of proceeds of sale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net proceeds of a sale made under a lien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who was entitled to the Shares immediately prior to the sale.</w:t>
      </w:r>
    </w:p>
    <w:p>
      <w:pPr>
        <w:spacing w:after="0" w:line="172" w:lineRule="exact"/>
        <w:rPr>
          <w:sz w:val="20"/>
          <w:szCs w:val="20"/>
          <w:color w:val="auto"/>
        </w:rPr>
      </w:pPr>
    </w:p>
    <w:p>
      <w:pPr>
        <w:ind w:left="660" w:hanging="652"/>
        <w:spacing w:after="0"/>
        <w:tabs>
          <w:tab w:leader="none" w:pos="6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Members in respect of any moneys unpaid on their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shall (subject to receiving at least fourteen days’ notice specifying the time or times of payment) pay to the Company at the time or times so specified the amount called on his Shares.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six per 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Shares for a difference between the holders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as may be agreed upon between the Member paying the sum in advance and the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1" w:name="page352"/>
    <w:bookmarkEnd w:id="351"/>
    <w:p>
      <w:pPr>
        <w:ind w:left="660" w:hanging="652"/>
        <w:spacing w:after="0"/>
        <w:tabs>
          <w:tab w:leader="none" w:pos="6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Companies Act, and these Articles (including Articles 22.3 and 26.1), the Company may:</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the creation of new Shares of such amount as the relevant resolution prescribes;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 smaller amount than is fixed by the Memorandum;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relevant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new Shares created in accordance with the provisions of this Article shall be subject to the same provisions of these Articles with reference to liens, transfer, transmission and otherwise as the Shares in the original share capital.</w:t>
      </w:r>
    </w:p>
    <w:p>
      <w:pPr>
        <w:spacing w:after="0" w:line="158" w:lineRule="exact"/>
        <w:rPr>
          <w:sz w:val="20"/>
          <w:szCs w:val="20"/>
          <w:color w:val="auto"/>
        </w:rPr>
      </w:pPr>
    </w:p>
    <w:p>
      <w:pPr>
        <w:ind w:left="660" w:hanging="652"/>
        <w:spacing w:after="0"/>
        <w:tabs>
          <w:tab w:leader="none" w:pos="6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RESOLUTIONS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Companies Act and these Articles (including Articles 22.3 and 26.1), the Company may by Special Resolution:</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these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and any capital redemption reserve;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winding up;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one or more constituent companies (as defined in the Companies Act).</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GENERAL MEETINGS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8"/>
          <w:szCs w:val="18"/>
          <w:b w:val="1"/>
          <w:bCs w:val="1"/>
          <w:color w:val="auto"/>
        </w:rPr>
        <w:t>Convening a general meeting</w:t>
      </w:r>
    </w:p>
    <w:p>
      <w:pPr>
        <w:spacing w:after="0" w:line="229" w:lineRule="exact"/>
        <w:rPr>
          <w:sz w:val="20"/>
          <w:szCs w:val="20"/>
          <w:color w:val="auto"/>
        </w:rPr>
      </w:pPr>
    </w:p>
    <w:p>
      <w:pPr>
        <w:ind w:left="1300" w:hanging="644"/>
        <w:spacing w:after="0" w:line="282" w:lineRule="auto"/>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convene a general meeting of the Company whenever the Directors think fit, and must do so if required to do so pursuant to a valid Members’ requisition.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there are no Directors then any one Member shall be entitled to convene a general meeting of the Company in the same manner as if such Member were the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2" w:name="page353"/>
    <w:bookmarkEnd w:id="352"/>
    <w:p>
      <w:pPr>
        <w:ind w:left="1300" w:right="20" w:hanging="644"/>
        <w:spacing w:after="0" w:line="282"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(save for general meetings convened at the requisition of one or more Members), postpone or cancel a general meeting before the date on which it is to be held, with or without reason.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Members’ requisition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Members’ requisition is a requisition of Members holding at the date of deposit of the requisition at the Registered Office not less than 10% of the issued Shares which as at that date carry the right to vote at general meetings of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Requirements of Members’ requisition</w:t>
      </w:r>
    </w:p>
    <w:p>
      <w:pPr>
        <w:spacing w:after="0" w:line="229" w:lineRule="exact"/>
        <w:rPr>
          <w:sz w:val="20"/>
          <w:szCs w:val="20"/>
          <w:color w:val="auto"/>
        </w:rPr>
      </w:pPr>
    </w:p>
    <w:p>
      <w:pPr>
        <w:ind w:left="1300" w:hanging="644"/>
        <w:spacing w:after="0" w:line="282" w:lineRule="auto"/>
        <w:tabs>
          <w:tab w:leader="none" w:pos="130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general meeting and must be signed by the requisitionists and deposited at the Registered Office, and may consist of several documents in like form each signed by one or more requisitionists.</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21 days from the date of the deposit of a valid requisition (the "</w:t>
      </w:r>
      <w:r>
        <w:rPr>
          <w:rFonts w:ascii="Times New Roman" w:cs="Times New Roman" w:eastAsia="Times New Roman" w:hAnsi="Times New Roman"/>
          <w:sz w:val="18"/>
          <w:szCs w:val="18"/>
          <w:b w:val="1"/>
          <w:bCs w:val="1"/>
          <w:color w:val="auto"/>
        </w:rPr>
        <w:t>Convening Deadline</w:t>
      </w:r>
      <w:r>
        <w:rPr>
          <w:rFonts w:ascii="Times New Roman" w:cs="Times New Roman" w:eastAsia="Times New Roman" w:hAnsi="Times New Roman"/>
          <w:sz w:val="18"/>
          <w:szCs w:val="18"/>
          <w:color w:val="auto"/>
        </w:rPr>
        <w:t>") duly proceed to convene a general meeting to be held within a further 21 days, the requisitionists, or any of them representing a majority of the total voting rights of all of them, may themselves convene a general meeting of the Company, but any meeting so convened shall not be held after the expiration of three months after the Convening Deadline.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in accordance with this Article by requisitionists shall be convened (insofar as is possible) in the same manner as that in which general meetings are to be convened by Directors and the Directors shall, upon demand, provide the names and addresses of each Member to the requisitionists for the purpose of convening such meeting.</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GENERAL MEETINGS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b w:val="1"/>
          <w:bCs w:val="1"/>
          <w:color w:val="auto"/>
        </w:rPr>
        <w:t>Length and form of notice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Member shall be given not less than twenty-one (21) days' written notice of annual general meetings (if any) and not less than fourteen (14) days' written notice of all other meetings of Members (or to the extent legally permitted, such shorter notice period in respect of any particular meeting as may be agreed in writing by all the Members entitled to participate in such meeting) specifying the date, time and place of the meeting and the business to be transacted thereat shall be given to each Member.</w:t>
      </w:r>
    </w:p>
    <w:p>
      <w:pPr>
        <w:spacing w:after="0" w:line="176" w:lineRule="exact"/>
        <w:rPr>
          <w:sz w:val="20"/>
          <w:szCs w:val="20"/>
          <w:color w:val="auto"/>
        </w:rPr>
      </w:pPr>
    </w:p>
    <w:p>
      <w:pPr>
        <w:ind w:right="7040" w:firstLine="8"/>
        <w:spacing w:after="0" w:line="532" w:lineRule="auto"/>
        <w:tabs>
          <w:tab w:leader="none" w:pos="648" w:val="left"/>
        </w:tabs>
        <w:numPr>
          <w:ilvl w:val="0"/>
          <w:numId w:val="3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PROCEEDINGS AT GENERAL MEETINGS 26.1 Requirement and number for a quorum</w:t>
      </w:r>
    </w:p>
    <w:p>
      <w:pPr>
        <w:spacing w:after="0" w:line="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quorum for any meeting of the Members (including a general meeting) shall consist of such Member(s) holding not less than two-thirds (2/3) of the total issued Shares in aggregate, whether present in person or by proxy or representative, provided that such Members present shall include at least one (1) NIP Founder Holdco and at least one (1) VE Founder Holdco. No meeting of the Members may proceed nor transact any business unless a quorum is present at the start of and throughout such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General meetings by telephone or other communications device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Meetings of the Members may be held at two (2) or more places using any technology that enables the Members who are not together at the same place to listen, speak and vote at the meeting, and a Member shall be deemed to be present at such meeting if such Member (or its proxy or representative) participates by telephone or other electronic means and all Members participating in the meeting are able to hear one another. Unless otherwise determined by resolution of the Members present, the meeting shall be deemed to be held at the place where the chairman is physically present.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Adjournment if quorum not present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within twenty (20) minutes of the time appointed for a meeting of the Members a quorum is not present, the meeting shall stand adjourned until the same time and place on the same day in the next week and if at such adjourned meeting a quorum is not present within twenty (20) minutes from the time appointed for such adjourned meeting (or such longer interval as the Members present may unanimously agree), the attendance by such Members holding more than fifty-percent (50%) of the total issued Shares in aggregate (whether present in person or by proxy or representative) shall constitute a quorum, provided that such Members present shall include at least one (1) NIP Founder Holdco and at least one (1) VE Founder Holdco.</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7"/>
          <w:szCs w:val="17"/>
          <w:b w:val="1"/>
          <w:bCs w:val="1"/>
          <w:color w:val="auto"/>
        </w:rPr>
        <w:t>Appointment of chairman of general meeting</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Members present shall determine a Members' representative who shall preside as chairman of general meeting at the start of the same, but such chairman shall not have a casting vote in case of an equality of votes.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7"/>
          <w:szCs w:val="17"/>
          <w:b w:val="1"/>
          <w:bCs w:val="1"/>
          <w:color w:val="auto"/>
        </w:rPr>
        <w:t>Adjournment of general meeting</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The chairman may, without the consent of the meeting, adjourn the meeting if it is necessary to ensure that all Members are able to participate in the meeting in an orderly fashion. When a general meeting is adjourned for 30 days or more, notice of the adjourned meeting shall be given as in the case of an original meeting. Otherwise it shall not be necessary to give any such notice.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4" w:name="page355"/>
    <w:bookmarkEnd w:id="35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7"/>
          <w:szCs w:val="17"/>
          <w:b w:val="1"/>
          <w:bCs w:val="1"/>
          <w:color w:val="auto"/>
        </w:rPr>
        <w:t>No casting vote for chairman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is an equality of votes on a poll, the chairman is not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7"/>
          <w:szCs w:val="17"/>
          <w:b w:val="1"/>
          <w:bCs w:val="1"/>
          <w:color w:val="auto"/>
        </w:rPr>
        <w:t>Voting on a poll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general meeting a resolution put to the vote of the meeting must be decided on a poll.</w:t>
      </w:r>
    </w:p>
    <w:p>
      <w:pPr>
        <w:spacing w:after="0" w:line="221" w:lineRule="exact"/>
        <w:rPr>
          <w:sz w:val="20"/>
          <w:szCs w:val="20"/>
          <w:color w:val="auto"/>
        </w:rPr>
      </w:pPr>
    </w:p>
    <w:p>
      <w:pPr>
        <w:ind w:left="660" w:hanging="652"/>
        <w:spacing w:after="0"/>
        <w:tabs>
          <w:tab w:leader="none" w:pos="6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 OF MEMBERS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Written resolutions of Members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resolution (including a Special Resolution) in writing (in one or more counterparts) signed by or on behalf of all Members for the time being entitled to vote at general meetings of the Company shall be as valid and effective as if the resolution had been passed at a general meeting of the Company duly convened and held. A resolution in writing is adopted when all Members entitled to do so have signed 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7"/>
          <w:szCs w:val="17"/>
          <w:b w:val="1"/>
          <w:bCs w:val="1"/>
          <w:color w:val="auto"/>
        </w:rPr>
        <w:t>Registered Members to vote</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No person shall be entitled to vote at any general meeting unless he is registered as a Member in the Register of Members on the record date for such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27.3</w:t>
      </w:r>
      <w:r>
        <w:rPr>
          <w:sz w:val="20"/>
          <w:szCs w:val="20"/>
          <w:color w:val="auto"/>
        </w:rPr>
        <w:tab/>
      </w:r>
      <w:r>
        <w:rPr>
          <w:rFonts w:ascii="Times New Roman" w:cs="Times New Roman" w:eastAsia="Times New Roman" w:hAnsi="Times New Roman"/>
          <w:sz w:val="17"/>
          <w:szCs w:val="17"/>
          <w:b w:val="1"/>
          <w:bCs w:val="1"/>
          <w:color w:val="auto"/>
        </w:rPr>
        <w:t>Voting rights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any rights or restrictions for the time being attached to any class or classes of Shares, every Member present (whether in person or by proxy or representative) shall have one vote for every Share (whether an Ordinary Share or a Preferred Share) of which he is a holder. Subject at all times to the quorum requirements set out in these Articles and Applicable Laws:</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Ordinary Matter shall be approved at a duly convened Members' meeting by a simple majority of the total voting rights present at the meeting and entitled to be cast on such resolution;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Reserved Matter shall be approved at a duly convened Members' meeting by not less than two-thirds (2/3) of the total voting rights present at the meeting and entitled to be cast on such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fractional Share shall carry the applicable fraction of one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27.4</w:t>
      </w:r>
      <w:r>
        <w:rPr>
          <w:sz w:val="20"/>
          <w:szCs w:val="20"/>
          <w:color w:val="auto"/>
        </w:rPr>
        <w:tab/>
      </w:r>
      <w:r>
        <w:rPr>
          <w:rFonts w:ascii="Times New Roman" w:cs="Times New Roman" w:eastAsia="Times New Roman" w:hAnsi="Times New Roman"/>
          <w:sz w:val="17"/>
          <w:szCs w:val="17"/>
          <w:b w:val="1"/>
          <w:bCs w:val="1"/>
          <w:color w:val="auto"/>
        </w:rPr>
        <w:t>Voting rights of joint holders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Share is held jointly and more than one of the joint holders votes in respect of that Share, only the vote of the joint holder whose name appears first in the Register of Members in respect of that Share counts.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5" w:name="page356"/>
    <w:bookmarkEnd w:id="35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27.5</w:t>
      </w:r>
      <w:r>
        <w:rPr>
          <w:sz w:val="20"/>
          <w:szCs w:val="20"/>
          <w:color w:val="auto"/>
        </w:rPr>
        <w:tab/>
      </w:r>
      <w:r>
        <w:rPr>
          <w:rFonts w:ascii="Times New Roman" w:cs="Times New Roman" w:eastAsia="Times New Roman" w:hAnsi="Times New Roman"/>
          <w:sz w:val="17"/>
          <w:szCs w:val="17"/>
          <w:b w:val="1"/>
          <w:bCs w:val="1"/>
          <w:color w:val="auto"/>
        </w:rPr>
        <w:t>Voting rights of Members incapable of managing their affairs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A Member of unsound mind, or in respect of whom an order has been made by any court having jurisdiction in matters concerning mental disorder, may vote whether on a show of hands or on a poll by his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on such Member's behalf appointed by that court, and any such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vote by proxy.</w:t>
      </w:r>
    </w:p>
    <w:p>
      <w:pPr>
        <w:spacing w:after="0" w:line="172" w:lineRule="exact"/>
        <w:rPr>
          <w:sz w:val="20"/>
          <w:szCs w:val="20"/>
          <w:color w:val="auto"/>
        </w:rPr>
      </w:pPr>
    </w:p>
    <w:p>
      <w:pPr>
        <w:ind w:right="5440" w:firstLine="8"/>
        <w:spacing w:after="0" w:line="503" w:lineRule="auto"/>
        <w:tabs>
          <w:tab w:leader="none" w:pos="648"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MEMBERS AT GENERAL MEETINGS 28.1 How Members may attend and vote</w:t>
      </w:r>
    </w:p>
    <w:p>
      <w:pPr>
        <w:ind w:left="1300" w:hanging="644"/>
        <w:spacing w:after="0"/>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each Member entitled to vote at a general meeting may attend and vote at the general meeting: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or where a Member is a company or non-natural person, by a duly authorised representative;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one or more proxies.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or a duly authorised representative may, but not need be, a Member of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Appointment of proxies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instrument appointing a proxy shall be in writing and be executed by or on behalf of the Member appointing the proxy.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7"/>
          <w:szCs w:val="17"/>
          <w:b w:val="1"/>
          <w:bCs w:val="1"/>
          <w:color w:val="auto"/>
        </w:rPr>
        <w:t>Form of instrument of proxy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instrument appointing a proxy may be in any usual or common form (or in any other form approved by the Directors) and may be expressed to be for a particular general meeting (or any adjournment of a general meeting) or generally until revoked.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28.4</w:t>
      </w:r>
      <w:r>
        <w:rPr>
          <w:sz w:val="20"/>
          <w:szCs w:val="20"/>
          <w:color w:val="auto"/>
        </w:rPr>
        <w:tab/>
      </w:r>
      <w:r>
        <w:rPr>
          <w:rFonts w:ascii="Times New Roman" w:cs="Times New Roman" w:eastAsia="Times New Roman" w:hAnsi="Times New Roman"/>
          <w:sz w:val="17"/>
          <w:szCs w:val="17"/>
          <w:b w:val="1"/>
          <w:bCs w:val="1"/>
          <w:color w:val="auto"/>
        </w:rPr>
        <w:t>Receipt of proxy appointment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in the notice convening the meeting (or in any instrument of proxy sent out by the Company) prior to the time set out in such notice or instrument (or if no such time is specified, no later than the time for holding the meeting or adjourned meeting). Notwithstanding the foregoing, the chairman may, in any event, at his discretion, direct that an instrument of proxy shall be deemed to have been duly deposited.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28.5</w:t>
      </w:r>
      <w:r>
        <w:rPr>
          <w:sz w:val="20"/>
          <w:szCs w:val="20"/>
          <w:color w:val="auto"/>
        </w:rPr>
        <w:tab/>
      </w:r>
      <w:r>
        <w:rPr>
          <w:rFonts w:ascii="Times New Roman" w:cs="Times New Roman" w:eastAsia="Times New Roman" w:hAnsi="Times New Roman"/>
          <w:sz w:val="17"/>
          <w:szCs w:val="17"/>
          <w:b w:val="1"/>
          <w:bCs w:val="1"/>
          <w:color w:val="auto"/>
        </w:rPr>
        <w:t>Validity of votes cast by proxy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instrument of proxy or of the authority under which the instrument of proxy was executed, or the transfer of the Share in respect of which the proxy is appointed unless notice in writing of such death, insanity, revocation or transfer was received by the Company at the Registered Office before the commencement of the general meeting, or adjourned meeting at which the proxy voted.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6" w:name="page357"/>
    <w:bookmarkEnd w:id="35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28.6</w:t>
      </w:r>
      <w:r>
        <w:rPr>
          <w:sz w:val="20"/>
          <w:szCs w:val="20"/>
          <w:color w:val="auto"/>
        </w:rPr>
        <w:tab/>
      </w:r>
      <w:r>
        <w:rPr>
          <w:rFonts w:ascii="Times New Roman" w:cs="Times New Roman" w:eastAsia="Times New Roman" w:hAnsi="Times New Roman"/>
          <w:sz w:val="17"/>
          <w:szCs w:val="17"/>
          <w:b w:val="1"/>
          <w:bCs w:val="1"/>
          <w:color w:val="auto"/>
        </w:rPr>
        <w:t>Corporate representatives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non-natural person which is a Member may authorise such person as it thinks fit to act as its representative at any general meeting, and the person so authorised shall be entitled to exercise the same powers on behalf of the non-natural person which he represents as the non-natural person could exercise if it were itself a natural person.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28.7</w:t>
      </w:r>
      <w:r>
        <w:rPr>
          <w:sz w:val="20"/>
          <w:szCs w:val="20"/>
          <w:color w:val="auto"/>
        </w:rPr>
        <w:tab/>
      </w:r>
      <w:r>
        <w:rPr>
          <w:rFonts w:ascii="Times New Roman" w:cs="Times New Roman" w:eastAsia="Times New Roman" w:hAnsi="Times New Roman"/>
          <w:sz w:val="17"/>
          <w:szCs w:val="17"/>
          <w:b w:val="1"/>
          <w:bCs w:val="1"/>
          <w:color w:val="auto"/>
        </w:rPr>
        <w:t>Shares that may not be voted</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Shares that are beneficially owned by the Company shall not be voted, directly or indirectly, at any general meeting or class meeting (as applicable) and shall not be counted in determining the total number of outstanding Shares at any given time.</w:t>
      </w:r>
    </w:p>
    <w:p>
      <w:pPr>
        <w:spacing w:after="0" w:line="158" w:lineRule="exact"/>
        <w:rPr>
          <w:sz w:val="20"/>
          <w:szCs w:val="20"/>
          <w:color w:val="auto"/>
        </w:rPr>
      </w:pPr>
    </w:p>
    <w:p>
      <w:pPr>
        <w:ind w:right="5120" w:firstLine="8"/>
        <w:spacing w:after="0" w:line="503" w:lineRule="auto"/>
        <w:tabs>
          <w:tab w:leader="none" w:pos="648"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REMOVAL AND RETIREMENT OF DIRECTORS 29.1 Number of Directors</w:t>
      </w:r>
    </w:p>
    <w:p>
      <w:pPr>
        <w:ind w:left="660"/>
        <w:spacing w:after="0" w:line="282" w:lineRule="auto"/>
        <w:rPr>
          <w:sz w:val="20"/>
          <w:szCs w:val="20"/>
          <w:color w:val="auto"/>
        </w:rPr>
      </w:pPr>
      <w:r>
        <w:rPr>
          <w:rFonts w:ascii="Times New Roman" w:cs="Times New Roman" w:eastAsia="Times New Roman" w:hAnsi="Times New Roman"/>
          <w:sz w:val="18"/>
          <w:szCs w:val="18"/>
          <w:color w:val="auto"/>
        </w:rPr>
        <w:t>The total maximum number of Directors shall eleven (11). Subject to Article 24.3(c), the Board shall consist of five (5) VE Directors, four (4) NIP Directors and two (2) independent non-executive directors (each an "</w:t>
      </w:r>
      <w:r>
        <w:rPr>
          <w:rFonts w:ascii="Times New Roman" w:cs="Times New Roman" w:eastAsia="Times New Roman" w:hAnsi="Times New Roman"/>
          <w:sz w:val="18"/>
          <w:szCs w:val="18"/>
          <w:b w:val="1"/>
          <w:bCs w:val="1"/>
          <w:color w:val="auto"/>
        </w:rPr>
        <w:t>INED</w:t>
      </w:r>
      <w:r>
        <w:rPr>
          <w:rFonts w:ascii="Times New Roman" w:cs="Times New Roman" w:eastAsia="Times New Roman" w:hAnsi="Times New Roman"/>
          <w:sz w:val="18"/>
          <w:szCs w:val="18"/>
          <w:color w:val="auto"/>
        </w:rPr>
        <w:t>"). Directors shall be entitled to receive notice of any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b w:val="1"/>
          <w:bCs w:val="1"/>
          <w:color w:val="auto"/>
        </w:rPr>
        <w:t>Corporate Directors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may appoint any non-natural person as a Director. Any such non-natural person may exercise any of its powers and authorities as a Director through any duly authorised representative.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7"/>
          <w:szCs w:val="17"/>
          <w:b w:val="1"/>
          <w:bCs w:val="1"/>
          <w:color w:val="auto"/>
        </w:rPr>
        <w:t>Appointment and removal of Directors</w:t>
      </w:r>
    </w:p>
    <w:p>
      <w:pPr>
        <w:spacing w:after="0" w:line="225" w:lineRule="exact"/>
        <w:rPr>
          <w:sz w:val="20"/>
          <w:szCs w:val="20"/>
          <w:color w:val="auto"/>
        </w:rPr>
      </w:pPr>
    </w:p>
    <w:p>
      <w:pPr>
        <w:ind w:left="1300" w:hanging="644"/>
        <w:spacing w:after="0" w:line="286"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 Shareholders shall, have the right to appoint up to five (5) Directors (collectively, the "</w:t>
      </w:r>
      <w:r>
        <w:rPr>
          <w:rFonts w:ascii="Times New Roman" w:cs="Times New Roman" w:eastAsia="Times New Roman" w:hAnsi="Times New Roman"/>
          <w:sz w:val="18"/>
          <w:szCs w:val="18"/>
          <w:b w:val="1"/>
          <w:bCs w:val="1"/>
          <w:color w:val="auto"/>
        </w:rPr>
        <w:t>VE Directors</w:t>
      </w:r>
      <w:r>
        <w:rPr>
          <w:rFonts w:ascii="Times New Roman" w:cs="Times New Roman" w:eastAsia="Times New Roman" w:hAnsi="Times New Roman"/>
          <w:sz w:val="18"/>
          <w:szCs w:val="18"/>
          <w:color w:val="auto"/>
        </w:rPr>
        <w:t>") and remove and/or replace any of the VE Directors, provided that:</w:t>
      </w:r>
    </w:p>
    <w:p>
      <w:pPr>
        <w:spacing w:after="0" w:line="154"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Founder Holdcos collectively shall have the right to appoint three (3) VE Directors ("</w:t>
      </w:r>
      <w:r>
        <w:rPr>
          <w:rFonts w:ascii="Times New Roman" w:cs="Times New Roman" w:eastAsia="Times New Roman" w:hAnsi="Times New Roman"/>
          <w:sz w:val="18"/>
          <w:szCs w:val="18"/>
          <w:b w:val="1"/>
          <w:bCs w:val="1"/>
          <w:color w:val="auto"/>
        </w:rPr>
        <w:t>VE Founder Directors</w:t>
      </w:r>
      <w:r>
        <w:rPr>
          <w:rFonts w:ascii="Times New Roman" w:cs="Times New Roman" w:eastAsia="Times New Roman" w:hAnsi="Times New Roman"/>
          <w:sz w:val="18"/>
          <w:szCs w:val="18"/>
          <w:color w:val="auto"/>
        </w:rPr>
        <w:t>") (as well to remove and/or replace such VE Founder Directors) collectively (by simple majority vote according to their pro-rata shareholding) and decide the composition of the VE Founder Directors;</w:t>
      </w:r>
    </w:p>
    <w:p>
      <w:pPr>
        <w:spacing w:after="0" w:line="174"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two VE Financial Shareholders with largest shareholding of the Company among the VE Financial Shareholders (calculated on a fully diluted and as-converted basis) shall have the right to appoint one (1) VE Director respectively ("</w:t>
      </w:r>
      <w:r>
        <w:rPr>
          <w:rFonts w:ascii="Times New Roman" w:cs="Times New Roman" w:eastAsia="Times New Roman" w:hAnsi="Times New Roman"/>
          <w:sz w:val="18"/>
          <w:szCs w:val="18"/>
          <w:b w:val="1"/>
          <w:bCs w:val="1"/>
          <w:color w:val="auto"/>
        </w:rPr>
        <w:t>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Directors</w:t>
      </w:r>
      <w:r>
        <w:rPr>
          <w:rFonts w:ascii="Times New Roman" w:cs="Times New Roman" w:eastAsia="Times New Roman" w:hAnsi="Times New Roman"/>
          <w:sz w:val="18"/>
          <w:szCs w:val="18"/>
          <w:color w:val="auto"/>
        </w:rPr>
        <w:t>") (as well to remove and/or replace such VE Financial Directors). The other VE Financial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have the right to appoint, remove and/or replace any Director;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7" w:name="page358"/>
    <w:bookmarkEnd w:id="357"/>
    <w:p>
      <w:pPr>
        <w:jc w:val="both"/>
        <w:ind w:left="1960" w:hanging="656"/>
        <w:spacing w:after="0" w:line="282" w:lineRule="auto"/>
        <w:tabs>
          <w:tab w:leader="none" w:pos="19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vacancy of VE Financial Directors, the VE Founders may collectively appoint such number of VE Director(s) such that, subject to Article 23.3(c), the total number of VE Directors is maintained at five (5) at any given time;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Shareholders shall effect the appointment or removal of any VE Directors by sending (i) a written notice to the Company at its registered office address, (ii) a copy of such notice to the other Members.</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acting collectively, have the right to appoint up to four (4) Directors (collectively, the "</w:t>
      </w:r>
      <w:r>
        <w:rPr>
          <w:rFonts w:ascii="Times New Roman" w:cs="Times New Roman" w:eastAsia="Times New Roman" w:hAnsi="Times New Roman"/>
          <w:sz w:val="18"/>
          <w:szCs w:val="18"/>
          <w:b w:val="1"/>
          <w:bCs w:val="1"/>
          <w:color w:val="auto"/>
        </w:rPr>
        <w:t>NIP Directors</w:t>
      </w:r>
      <w:r>
        <w:rPr>
          <w:rFonts w:ascii="Times New Roman" w:cs="Times New Roman" w:eastAsia="Times New Roman" w:hAnsi="Times New Roman"/>
          <w:sz w:val="18"/>
          <w:szCs w:val="18"/>
          <w:color w:val="auto"/>
        </w:rPr>
        <w:t>") and remove and/or replace any of the NIP Directors, provided that:</w:t>
      </w:r>
    </w:p>
    <w:p>
      <w:pPr>
        <w:spacing w:after="0" w:line="158"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discuss and collectively decide (by simple majority vote according to their pro-rata shareholding) as to the composition of the NIP Directors;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acting collectively, effect the appointment or removal of any NIP Directors by sending (i) a written notice to the Company at the Company's registered office address and (ii) a copy of such notice to the other Members.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VE Shareholders collectively cease to hold more than forty-five percent (45%) of the total issued share capital of the Company, and/or (ii) the NIP Shareholders collectively cease to hold more than thirty percent (30%) of the total issued share capital of the Company, then such Members with an Equity Ratio of not less than three percent (3%) each shall discuss and collectively decide (by simple majority vote according to their pro-rata shareholding, and calculated on a fully diluted and as-converted basis) as to the composition of the Board, provided that: (a) the VE Shareholders (acting collectively) shall in any event have the right to appoint at least four (4) VE Directors; and (b) the NIP Shareholders (acting collectively) shall in any event have the right to appoint at least three (3) NIP Directors.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any INED is subject to the approval of such (s) holding not less than two-thirds (2/3) of the total issued Shares in aggregate. Such VE Shareholders owning more than fifty percent (50)% of all VE Shares in aggregate shall be entitled to nominate one</w:t>
      </w: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candidate for appointment as INED, and such NIP Shareholders owning more than fifty percent (50%) of all NIP Shares in aggregate shall be entitled to nominate one (1) candidate for appointment as INED.</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7"/>
          <w:szCs w:val="17"/>
          <w:b w:val="1"/>
          <w:bCs w:val="1"/>
          <w:color w:val="auto"/>
        </w:rPr>
        <w:t>Other circumstances in which a Director ceases to hold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ceases to hold office as a Director if the Director:</w:t>
      </w:r>
    </w:p>
    <w:p>
      <w:pPr>
        <w:spacing w:after="0" w:line="225" w:lineRule="exact"/>
        <w:rPr>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by the Member appointing him;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8" w:name="page359"/>
    <w:bookmarkEnd w:id="358"/>
    <w:p>
      <w:pPr>
        <w:ind w:left="1300" w:hanging="644"/>
        <w:spacing w:after="0"/>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as Director by giving notice in writing to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present personally or by proxy or represented by an alternate Director at three consecutive meetings of the Directors without special leave of absence from the Directors, and the Directors pass a resolution that he has by reason of such absence vacated office;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becomes bankrupt, commences liquidation, dissolves or makes any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7"/>
          <w:szCs w:val="17"/>
          <w:b w:val="1"/>
          <w:bCs w:val="1"/>
          <w:color w:val="auto"/>
        </w:rPr>
        <w:t>Director Ineligibility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these Articles, no person nominated for appointment as Director and no person acting as an alternate of any Director shall hold the position of, engage in or work for a Competitor (whether as a director, manager, key employee or other similar senior executive positions), unless:</w:t>
      </w:r>
    </w:p>
    <w:p>
      <w:pPr>
        <w:spacing w:after="0" w:line="176" w:lineRule="exact"/>
        <w:rPr>
          <w:sz w:val="20"/>
          <w:szCs w:val="20"/>
          <w:color w:val="auto"/>
        </w:rPr>
      </w:pPr>
    </w:p>
    <w:p>
      <w:pPr>
        <w:ind w:left="1300" w:hanging="644"/>
        <w:spacing w:after="0"/>
        <w:tabs>
          <w:tab w:leader="none" w:pos="13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Wuhan Douyu with respect to any work or engagement with a Wuhan Douyu Competitor;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the Founder Parties with respect to any work or engagement with a Company Competitor;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the NIP Founder Parties with respect to any work or engagement with a NIP Competitor.</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General powers to manage the Company’s business</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Shareholders Agreements, the provisions of the Companies Act, the Memorandum and these Articles and to any directions given by Special Resolution, business of the Company shall be managed by the Directors, who may exercise all the powers of the Company save in respect of (a) the Shareholders Ordinary Matters and Shareholders Reserved Matters; and (b) matters concerning the direction, management and day-to-day operation of the NIP Group Companies and the VE Group Companies which shall be managed in accordance with the Shareholders Agreement. No alteration of the Memorandum or Articles and no such direction shall invalidate any prior act of the Directors which would have been valid if that alteration had not been made or that direction had not been given.</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given by this Article shall not be limited by any special power given to the Directors by these Articles and a duly convened meeting of Directors at which a quorum is present may exercise all powers exercisable by the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9" w:name="page360"/>
    <w:bookmarkEnd w:id="35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color w:val="auto"/>
        </w:rPr>
        <w:t>Borrowing powers of Directors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these Articles, the Directors may exercise all the powers of the Company to borrow money and to mortgage or charge all or any part of its undertaking and property and to issue debentures, debenture stock, mortgages, bonds and other such securities whether outright or as security for any debt, liability or obligation of the Company or of any third party.</w:t>
      </w:r>
    </w:p>
    <w:p>
      <w:pPr>
        <w:spacing w:after="0" w:line="172" w:lineRule="exact"/>
        <w:rPr>
          <w:sz w:val="20"/>
          <w:szCs w:val="20"/>
          <w:color w:val="auto"/>
        </w:rPr>
      </w:pPr>
    </w:p>
    <w:p>
      <w:pPr>
        <w:ind w:right="7580" w:firstLine="8"/>
        <w:spacing w:after="0" w:line="503" w:lineRule="auto"/>
        <w:tabs>
          <w:tab w:leader="none" w:pos="648"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 31.1 Special Voting Procedures of the Board</w:t>
      </w:r>
    </w:p>
    <w:p>
      <w:pPr>
        <w:ind w:left="660"/>
        <w:spacing w:after="0"/>
        <w:rPr>
          <w:sz w:val="20"/>
          <w:szCs w:val="20"/>
          <w:color w:val="auto"/>
        </w:rPr>
      </w:pPr>
      <w:r>
        <w:rPr>
          <w:rFonts w:ascii="Times New Roman" w:cs="Times New Roman" w:eastAsia="Times New Roman" w:hAnsi="Times New Roman"/>
          <w:sz w:val="18"/>
          <w:szCs w:val="18"/>
          <w:color w:val="auto"/>
        </w:rPr>
        <w:t>Each Director is entitled to one (1) vote on all matters to be voted upon by the Board. Subject at all times to the quorum requirements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Laws:</w:t>
      </w:r>
    </w:p>
    <w:p>
      <w:pPr>
        <w:spacing w:after="0" w:line="207" w:lineRule="exact"/>
        <w:rPr>
          <w:sz w:val="20"/>
          <w:szCs w:val="20"/>
          <w:color w:val="auto"/>
        </w:rPr>
      </w:pPr>
    </w:p>
    <w:p>
      <w:pPr>
        <w:ind w:left="1300" w:right="20" w:hanging="644"/>
        <w:spacing w:after="0" w:line="282"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Board Matter shall be approved at a duly convened Board meeting upon affirmative votes from a simple majority of the Directors who are present and eligible to vote;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Reserved Board Matter shall be approved at a duly convened Board meeting upon affirmative votes from not less than two-thirds (2/3) of the Directors who are present and eligible to vote.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Convening a Directors’ meeting</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Meetings of the Board shall be properly convened and held at such times as may be determined by the Board (but in any event shall at least be held once every six (6) months). No Board meeting shall be convened on less than five (5) Business Days' notice unless at least one (1) VE Director and one (1) NIP Director agree to waive such notice period requirement in writing. Any notice of a Board meeting shall include an agenda identifying in reasonable detail the matters to be discussed at the meeting and shall be accompanied by any relevant papers to be discussed at the meeting.</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Quorum</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quorum for meetings of the Board shall consist of seven (7) Directors, of whom at least four (4) shall be VE Directors (whom shall include Mario Ho) and three (3) shall be NIP Directors (whom shall include Hicham Chahine). No meeting of the Board may proceed nor transact any business unless a quorum is present at the start of and throughout such meeting. A Director shall be regarded as present for the purposes of a quorum if represented by an alternate. If within thirty (30) minutes of the time appointed for a meeting a quorum is not present, the meeting shall stand adjourned until the same time and place on the same day in the next week and if at such adjourned meeting a quorum is not present within twenty (20) minutes from the time appointed for such adjourned meeting (or such longer interval as the Chairperson of the meeting may think fit to allow), the attendance by five (5) Directors present in person or by his alternate shall constitute a quorum, provided that of whom two (2) shall be VE Directors (whom shall include Mario Ho) and two (2) shall be NIP Directors (whom shall include Hicham Chahine).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0" w:name="page361"/>
    <w:bookmarkEnd w:id="36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Power to act notwithstanding vacancies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continuing Directors or sole continuing Director may act notwithstanding any vacancies in their number, but if the number of Directors is less than the number fixed as the quorum, the continuing Directors or Director may act only for the purpose of filling vacancies in that number, or for calling a general meeting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Chairperson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One of the Directors, as selected by no less than two-thirds (2/3) of the members of the Board, shall preside as the chairperson of meetings of the Board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for a term of three (3) years and shall serve consecutive terms as the Chairperson unless he/she is replaced by two-thirds (2/3) of the members of the Board. If the Chairperson is not present at any meeting of the Board, the Directors present may appoint another Director to act as Chairperson the purposes of the meeting. In the case of an equality of votes at any meeting of the Board, the Chairperson shall not have a second or casting vote.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31.6</w:t>
      </w:r>
      <w:r>
        <w:rPr>
          <w:sz w:val="20"/>
          <w:szCs w:val="20"/>
          <w:color w:val="auto"/>
        </w:rPr>
        <w:tab/>
      </w:r>
      <w:r>
        <w:rPr>
          <w:rFonts w:ascii="Times New Roman" w:cs="Times New Roman" w:eastAsia="Times New Roman" w:hAnsi="Times New Roman"/>
          <w:sz w:val="17"/>
          <w:szCs w:val="17"/>
          <w:b w:val="1"/>
          <w:bCs w:val="1"/>
          <w:color w:val="auto"/>
        </w:rPr>
        <w:t>Validity of acts of Directors in spite of a formal defect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acts done bona fide by a meeting of the Directors or of a committee of Directors (including any person acting as an alternate Director) shall, notwithstanding that it be afterwards discovered that there was a defect in the appointment of any Director or alternate Director, or that they or any of them were disqualified from holding office (or had vacated office) or were not entitled to vote, be as valid as if every such person had been duly appointed and qualified to be a Director or alternate Director as the case may be and had been entitled to vote.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Directors’ meetings by telephone or other communication device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Meetings of the Board may be held at two (2) or more places using any technology that enables the Directors who are not together at the same place to listen, speak and vote at the meeting, and any Director shall be deemed to be present at such meeting if such Director (or his alternate) participates by telephone or other electronic means and all Directors participating in the meeting are able to hear one another.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31.8</w:t>
      </w:r>
      <w:r>
        <w:rPr>
          <w:sz w:val="20"/>
          <w:szCs w:val="20"/>
          <w:color w:val="auto"/>
        </w:rPr>
        <w:tab/>
      </w:r>
      <w:r>
        <w:rPr>
          <w:rFonts w:ascii="Times New Roman" w:cs="Times New Roman" w:eastAsia="Times New Roman" w:hAnsi="Times New Roman"/>
          <w:sz w:val="17"/>
          <w:szCs w:val="17"/>
          <w:b w:val="1"/>
          <w:bCs w:val="1"/>
          <w:color w:val="auto"/>
        </w:rPr>
        <w:t>Written resolutions of Directors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Resolutions of the Board may be passed without a meeting by way of written resolutions, provided that, in respect of any written resolutions relating to:</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Board Matter, such resolutions shall be approved and signed by a simple majority of all Directors or a simple majority of members of a committee of Directors (an alternate Director or a proxy being entitled to sign such a resolution on behalf of his appointor) eligible to vote on such matters;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1" w:name="page362"/>
    <w:bookmarkEnd w:id="361"/>
    <w:p>
      <w:pPr>
        <w:ind w:left="1300" w:hanging="644"/>
        <w:spacing w:after="0" w:line="282"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Reserved Board Matter, such resolutions shall be approved and signed by not less than two-thirds (2/3) of all Directors (an alternate Director or a proxy being entitled to sign such a resolution on behalf of his appointor) eligible to vote on such matters;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 in writing shall be sent to each Director and shall require a response within a period specified in the notice of such resolution, being not less than ten (10) Business Days after its date of dispatch or else it shall lapse, and no written resolutions (despite being duly signed by such number of persons as required under Articles 26.8(a) and/or 26.8(b) as applicable) shall take effect until the expiry of such period unless such notice period requirement has been waived by at least two (2) VE Directors (whom shall include Mario Ho), two (2) NIP Directors (whom shall include Hicham Chahine), and one (1) INED.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31.9</w:t>
      </w:r>
      <w:r>
        <w:rPr>
          <w:sz w:val="20"/>
          <w:szCs w:val="20"/>
          <w:color w:val="auto"/>
        </w:rPr>
        <w:tab/>
      </w:r>
      <w:r>
        <w:rPr>
          <w:rFonts w:ascii="Times New Roman" w:cs="Times New Roman" w:eastAsia="Times New Roman" w:hAnsi="Times New Roman"/>
          <w:sz w:val="17"/>
          <w:szCs w:val="17"/>
          <w:b w:val="1"/>
          <w:bCs w:val="1"/>
          <w:color w:val="auto"/>
        </w:rPr>
        <w:t>Appointment of a proxy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Director but not an alternate Director may be represented at any meeting of the Directors by a proxy appointed in writing by him. The proxy shall count towards the quorum and the vote of the proxy shall for all purposes be deemed to be that of the appointing Director. The authority of any such proxy shall be deemed unlimited unless expressly limited in the written instrument appointing him.</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31.10</w:t>
      </w:r>
      <w:r>
        <w:rPr>
          <w:sz w:val="20"/>
          <w:szCs w:val="20"/>
          <w:color w:val="auto"/>
        </w:rPr>
        <w:tab/>
      </w:r>
      <w:r>
        <w:rPr>
          <w:rFonts w:ascii="Times New Roman" w:cs="Times New Roman" w:eastAsia="Times New Roman" w:hAnsi="Times New Roman"/>
          <w:sz w:val="17"/>
          <w:szCs w:val="17"/>
          <w:b w:val="1"/>
          <w:bCs w:val="1"/>
          <w:color w:val="auto"/>
        </w:rPr>
        <w:t>Directors’ interests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and provided that he has declared to the Directors the nature and extent of any personal interest of his in a matter, transaction or arrangement, a Director or alternate Director notwithstanding his office may:</w:t>
      </w:r>
    </w:p>
    <w:p>
      <w:pPr>
        <w:spacing w:after="0" w:line="162" w:lineRule="exact"/>
        <w:rPr>
          <w:sz w:val="20"/>
          <w:szCs w:val="20"/>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office or place of profit in the Company, except that of Auditor;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office or place of profit in any other company or entity promoted by the Company or in which it has an interest of any kind;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transaction or arrangement with the Company or in which the Company is otherwise interested;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a professional capacity (or be a member of a firm which acts in a professional capacity) for the Company, except as Auditor;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or participate in the execution of any document in connection with matters related to that interest;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vote on and be counted in the quorum at any meeting of the Directors that considers matters relating to that interest;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 of the above despite the fiduciary relationship of the Director’s office: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any liability to account to the Company for any direct or indirect benefit accruing to the Director;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2" w:name="page363"/>
    <w:bookmarkEnd w:id="362"/>
    <w:p>
      <w:pPr>
        <w:ind w:left="1960" w:hanging="656"/>
        <w:spacing w:after="0"/>
        <w:tabs>
          <w:tab w:leader="none" w:pos="1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affecting the validity of any contract, transaction or arrangement.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purposes of this Article, a general notice given to the Directors that a Director is to be regarded as having an interest of the nature and extent specified in the notice in any matter, transaction or arrangement for which a specified person or class of persons is interested shall be deemed to be a disclosure that the Director has an interest in any such matter, transaction or arrangement of the nature and extent so specified.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31.11</w:t>
      </w:r>
      <w:r>
        <w:rPr>
          <w:sz w:val="20"/>
          <w:szCs w:val="20"/>
          <w:color w:val="auto"/>
        </w:rPr>
        <w:tab/>
      </w:r>
      <w:r>
        <w:rPr>
          <w:rFonts w:ascii="Times New Roman" w:cs="Times New Roman" w:eastAsia="Times New Roman" w:hAnsi="Times New Roman"/>
          <w:sz w:val="17"/>
          <w:szCs w:val="17"/>
          <w:b w:val="1"/>
          <w:bCs w:val="1"/>
          <w:color w:val="auto"/>
        </w:rPr>
        <w:t>Minutes of meetings to be kept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Directors shall cause minutes to be made in books kept for the purpose of all appointments of officers made by the Directors, all proceedings at general and class meetings of the Company and meetings of the Directors or committees of the Directors, including the names of the Directors or alternate Directors present at each meeting.</w:t>
      </w:r>
    </w:p>
    <w:p>
      <w:pPr>
        <w:spacing w:after="0" w:line="172" w:lineRule="exact"/>
        <w:rPr>
          <w:sz w:val="20"/>
          <w:szCs w:val="20"/>
          <w:color w:val="auto"/>
        </w:rPr>
      </w:pPr>
    </w:p>
    <w:p>
      <w:pPr>
        <w:ind w:right="7100" w:firstLine="8"/>
        <w:spacing w:after="0" w:line="503" w:lineRule="auto"/>
        <w:tabs>
          <w:tab w:leader="none" w:pos="648"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 32.1 Power of Directors to delegate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their powers, authorities and discretions to any committee of the Directors consisting of one or more Directors and any other person the Directors think fit to any Director or to any other person in each case to such extent, by such means (including by power of attorney) and on such terms and conditions as the Directors think fit;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any person to whom powers, authorities and discretions are delegated under this Article by the Directors to further delegate some or all of those powers, authorities and discretions;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their powers, authorities and discretions under this Article either collaterally with or to the exclusion of their own powers, authorities and discretions;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revoke any delegation made under this Article by the Directors in whole or in part or vary its terms and conditions.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committee to which any powers, authorities and discretions have been delegated under the preceding Article must exercise those powers, authorities and discretions in accordance with the terms of delegation and any other regulations that may be imposed by the Directors on that committee. The proceedings of a committee of the Directors must be conducted in accordance with any regulations imposed by the Directors, and, subject to any such regulations, to the provisions of these Articles dealing with proceedings of Directors insofar as they are capable of applying.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3" w:name="page364"/>
    <w:bookmarkEnd w:id="36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7"/>
          <w:szCs w:val="17"/>
          <w:b w:val="1"/>
          <w:bCs w:val="1"/>
          <w:color w:val="auto"/>
        </w:rPr>
        <w:t>Appointing an attorney, agent or authorised signatory of the Company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power of attorney or otherwise, appoint any person, to be the attorney, agent or authorised signatory of the Company for such purpose and with such powers, authorities and discretions (not exceeding those vested in or exercisable by the Directors under these Articles) and for such period and subject to such conditions as they think fit.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power of attorney or other appointment may contain such provisions for the protection and convenience of persons dealing with any such attorney, agent or authorised signatory as the Directors think fit and may also authorise any such attorney, agent or authorised signatory to delegate all or any of the powers, authorities and discretions vested in such person.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Articles 27.4(b) and 27.4(c), the Directors may appoint such officers as they consider necessary on such terms, at such remuneration and to perform such duties, and subject to such provisions as to disqualification and removal as the Directors think fit. Unless otherwise specified in the terms of his appointment, an officer may be removed from that office by resolution of the Directors.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nominated by the NIP Directors and an individual nominated by the VE Founders shall each be appointed as co-chief executive officer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ceases to hold office if such officer: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in accordance with paragraph (a) above;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its office by giving notice in writing to the Company;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becomes bankrupt, commences liquidation, dissolves or makes any arrangement or composition with his creditors generally;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b w:val="1"/>
          <w:bCs w:val="1"/>
          <w:color w:val="auto"/>
        </w:rPr>
        <w:t>Alternate Directors</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24.5, any Director may nominate any person to act as alternate Director in his place by way of written notice to the Company, and may remove such alternate Director at any time in the same manner. Such alternate Director shall be permitted to attend all Board meetings and to vote on behalf of such Director for whom he is serving as an alternate. The alternate Director shall (except as regards the power to appoint an alternate Director pursuant to this Article 27.5) exercise and discharge all the functions, powers and duties of the Director he represents, and shall look solely to the Director he represents for remuneration (if any) for his services as an alternate Director. Every person acting as alternate Director shall have one vote for each Director for whom he acts as alternate (in addition to his own vote if he is also a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4" w:name="page365"/>
    <w:bookmarkEnd w:id="364"/>
    <w:p>
      <w:pPr>
        <w:ind w:left="1300" w:hanging="644"/>
        <w:spacing w:after="0" w:line="282" w:lineRule="auto"/>
        <w:tabs>
          <w:tab w:leader="none" w:pos="13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ceases to hold office as an alternate Director at the time specified in his appointment (if applicable) or if the alternate Director: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by his appointor;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as alternate Director by giving notice in writing to the Company;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becomes bankrupt, commences liquidation, dissolves or makes any arrangement or composition with his creditors generally;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b w:val="1"/>
          <w:bCs w:val="1"/>
          <w:color w:val="auto"/>
        </w:rPr>
        <w:t>Directors’ Remuneration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pay to each Director for his services as a Director such remuneration (if any) as the Directors shall determine.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7"/>
          <w:szCs w:val="17"/>
          <w:b w:val="1"/>
          <w:bCs w:val="1"/>
          <w:color w:val="auto"/>
        </w:rPr>
        <w:t>Expenses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Director is entitled to be reimbursed out of the funds of the Company for such reasonable travelling, accommodation and other expenses as the Director may properly incur in travelling to, attending and returning from meetings of Directors or committees of Directors and general meetings of the Company or otherwise in attending to the business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33.3</w:t>
      </w:r>
      <w:r>
        <w:rPr>
          <w:sz w:val="20"/>
          <w:szCs w:val="20"/>
          <w:color w:val="auto"/>
        </w:rPr>
        <w:tab/>
      </w:r>
      <w:r>
        <w:rPr>
          <w:rFonts w:ascii="Times New Roman" w:cs="Times New Roman" w:eastAsia="Times New Roman" w:hAnsi="Times New Roman"/>
          <w:sz w:val="17"/>
          <w:szCs w:val="17"/>
          <w:b w:val="1"/>
          <w:bCs w:val="1"/>
          <w:color w:val="auto"/>
        </w:rPr>
        <w:t>Additional or special duties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 Director at the request of the Directors performs additional or special duties for the Company, the Company may pay or provide to that Director such remuneration or other benefits as the Directors may determine.</w:t>
      </w:r>
    </w:p>
    <w:p>
      <w:pPr>
        <w:spacing w:after="0" w:line="158" w:lineRule="exact"/>
        <w:rPr>
          <w:sz w:val="20"/>
          <w:szCs w:val="20"/>
          <w:color w:val="auto"/>
        </w:rPr>
      </w:pPr>
    </w:p>
    <w:p>
      <w:pPr>
        <w:ind w:left="660" w:hanging="652"/>
        <w:spacing w:after="0"/>
        <w:tabs>
          <w:tab w:leader="none" w:pos="6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Directors to determine use of Seal</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may, if the Directors so determine, have a Seal. The Seal shall only be used with the authority of the Directors or a committee of the Directors established for such purpose. Every document to which the Seal is affixed shall be signed by at least one person who shall be either a Director or some officer or other person appointed by the Directors for that purpose.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Duplicate Seal</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5" w:name="page366"/>
    <w:bookmarkEnd w:id="365"/>
    <w:p>
      <w:pPr>
        <w:ind w:right="6640" w:firstLine="8"/>
        <w:spacing w:after="0" w:line="503" w:lineRule="auto"/>
        <w:tabs>
          <w:tab w:leader="none" w:pos="648"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DISTRIBUTIONS AND RESERVES 35.1 Payment of Dividends</w:t>
      </w: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Subject to the Companies Act, these Articles, the Directors may declare and/or pay Dividends and distributions on Shares in issue and authorise payment of the Dividends or distributions out of the funds of the Company lawfully available therefor provided that, for so long as the Shareholders Agreement is in force, the Directors may only do any of the foregoing in accordance with any relevant provisions of the Shareholders Agreement (if any), and may not do any of the foregoing if to do so would be in contravention of, or be inconsistent with, the Shareholders Agreement. No Dividend or distribution shall be paid except out of the realised or unrealised profits of the Company, or out of the share premium account, or as otherwise permitted by the Companies Act. Unless the Directors resolve that a Dividend shall be a final dividend, any Dividend shall be deemed an interim Dividend and consequently may be cancelled by the Directors at any time before the date of payment of such Dividend.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7"/>
          <w:szCs w:val="17"/>
          <w:b w:val="1"/>
          <w:bCs w:val="1"/>
          <w:color w:val="auto"/>
        </w:rPr>
        <w:t>Calculation of Dividends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in relation to the NIP Share Distribution or the NIP Dividend Distribution, distributions to be made to the Members shall be pro-rated based on their respective Equity Ratio, subject to any Applicable Laws, the Requisite Approvals, and any agreement or restriction binding on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7"/>
          <w:szCs w:val="17"/>
          <w:b w:val="1"/>
          <w:bCs w:val="1"/>
          <w:color w:val="auto"/>
        </w:rPr>
        <w:t>Dividend satisfied by distribution of specific assets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Subject to the Requisite Approvals, the Directors may resolve or declare that any Dividend or distribution be paid wholly or partly by the distribution of specific assets and in particular of shares, debentures, or securities of any other company or in any one or more of such ways and where any difficulty arises in regard to such distribution,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83"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RESERVES AND PROFITS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8"/>
          <w:szCs w:val="18"/>
          <w:color w:val="auto"/>
        </w:rPr>
        <w:t>Subject to the Companies Act, these Articles and to any rights and restrictions for the time being attached to any class of Shares, the Directors may resolve to capitalise all or any part of any amount standing to the credit of any of the Company's reserve accounts (including share premium account and capital redemption reserve fund) or the profit and loss account or otherwise available for distribution to Members and:</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all or part of any amount so capitalised for the benefit of Members in the proportions to which those Members would have been entitled in a distribution of that sum by way of Dividend in paying up any amounts unpaid on Shares held by Members or in paying up in full unissued Shares to be issued to Members as fully paid;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6" w:name="page367"/>
    <w:bookmarkEnd w:id="366"/>
    <w:p>
      <w:pPr>
        <w:ind w:left="1300" w:hanging="644"/>
        <w:spacing w:after="0" w:line="282" w:lineRule="auto"/>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all or part of any amount so capitalised in paying up Shares for the benefit of any person in satisfaction of any obligation of the Company to issue paid up Shares to such person.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such event the Directors shall take any action required to give effect to such capitalisation, and may make such provisions as they think fit in the event that Shares become distributable in fractions (including providing for fractional entitlements to accrue to the Company rather than to the Members concerned).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8"/>
          <w:szCs w:val="18"/>
          <w:color w:val="auto"/>
        </w:rPr>
        <w:t>The Directors may authorise any person to enter into an agreement with the Company on behalf of all of the Members interested providing for such capitalisation and matters incidental to the capitalisation and any such agreement shall be effective and binding on all the Members concerned.</w:t>
      </w:r>
    </w:p>
    <w:p>
      <w:pPr>
        <w:spacing w:after="0" w:line="172" w:lineRule="exact"/>
        <w:rPr>
          <w:sz w:val="20"/>
          <w:szCs w:val="20"/>
          <w:color w:val="auto"/>
        </w:rPr>
      </w:pPr>
    </w:p>
    <w:p>
      <w:pPr>
        <w:ind w:right="8460" w:firstLine="8"/>
        <w:spacing w:after="0" w:line="503" w:lineRule="auto"/>
        <w:tabs>
          <w:tab w:leader="none" w:pos="648"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 37.1 Books of account to be kept</w:t>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Directors shall cause proper books of account to be kept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affairs of the Company and to explain its transactions.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7"/>
          <w:szCs w:val="17"/>
          <w:b w:val="1"/>
          <w:bCs w:val="1"/>
          <w:color w:val="auto"/>
        </w:rPr>
        <w:t>Inspection by Members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these Articles, the Directors shall from time to time determine whether and to what extent and at what times and places and under what conditions or regulations the accounts and books of the Company or any of them will be open to the inspection of Members (not being Directors). No Member (not being a Director) shall have any right of inspecting any account or book or document of the Company except as conferred by the Companies Act, the Shareholders Agreement or authorised by the Directors.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7"/>
          <w:szCs w:val="17"/>
          <w:b w:val="1"/>
          <w:bCs w:val="1"/>
          <w:color w:val="auto"/>
        </w:rPr>
        <w:t>Accounts required by law</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Directors may from time to time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7"/>
          <w:szCs w:val="17"/>
          <w:b w:val="1"/>
          <w:bCs w:val="1"/>
          <w:color w:val="auto"/>
        </w:rPr>
        <w:t>Retention of records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books of account maintained by the Company shall be retained for a period of at least five years, or such longer period required by any applicable law or regulation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7" w:name="page368"/>
    <w:bookmarkEnd w:id="367"/>
    <w:p>
      <w:pPr>
        <w:ind w:left="652" w:hanging="652"/>
        <w:spacing w:after="0"/>
        <w:tabs>
          <w:tab w:leader="none" w:pos="652"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RIGHTS</w:t>
      </w:r>
    </w:p>
    <w:p>
      <w:pPr>
        <w:spacing w:after="0" w:line="225" w:lineRule="exact"/>
        <w:rPr>
          <w:sz w:val="20"/>
          <w:szCs w:val="20"/>
          <w:color w:val="auto"/>
        </w:rPr>
      </w:pPr>
    </w:p>
    <w:p>
      <w:pPr>
        <w:jc w:val="both"/>
        <w:ind w:left="652" w:hanging="647"/>
        <w:spacing w:after="0" w:line="268" w:lineRule="auto"/>
        <w:tabs>
          <w:tab w:leader="none" w:pos="632"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The Company covenants and agrees, and each Preferred Shareholder (an "</w:t>
      </w:r>
      <w:r>
        <w:rPr>
          <w:rFonts w:ascii="Times New Roman" w:cs="Times New Roman" w:eastAsia="Times New Roman" w:hAnsi="Times New Roman"/>
          <w:sz w:val="18"/>
          <w:szCs w:val="18"/>
          <w:b w:val="1"/>
          <w:bCs w:val="1"/>
          <w:color w:val="auto"/>
        </w:rPr>
        <w:t>Information Rights Holder</w:t>
      </w:r>
      <w:r>
        <w:rPr>
          <w:rFonts w:ascii="Times New Roman" w:cs="Times New Roman" w:eastAsia="Times New Roman" w:hAnsi="Times New Roman"/>
          <w:sz w:val="18"/>
          <w:szCs w:val="18"/>
          <w:color w:val="auto"/>
        </w:rPr>
        <w:t>") agrees with the Company, that, unless otherwise agreed between such Information Rights Holder and the Company, commencing on the date hereof, the Company will deliver to each Information Rights Holder:</w:t>
      </w:r>
    </w:p>
    <w:p>
      <w:pPr>
        <w:spacing w:after="0" w:line="175" w:lineRule="exact"/>
        <w:rPr>
          <w:sz w:val="20"/>
          <w:szCs w:val="20"/>
          <w:color w:val="auto"/>
        </w:rPr>
      </w:pPr>
    </w:p>
    <w:p>
      <w:pPr>
        <w:ind w:left="1292" w:right="20" w:hanging="644"/>
        <w:spacing w:after="0" w:line="282"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monthly financial statements in accordance with the PRC GAAP, US GAAP or IFRS (as applicable) and the key operating data of the Group Companies within fifteen (15) days after the end of each fiscal month;</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quarterly financial statements of the Group Companies within fifteen (15) days after the end of each fiscal quarter in accordance with the PRC GAAP, US GAAP or IFRS (as applicable);</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consolidated financial statements of the Group Companies audited and certified by an independent certified public accounting firm of internationally recognized standing, including the balance sheet as of the end of such fiscal year and statements of income, shareholders' equity, and cash-flow for such fiscal year, within forty-five (45) days after the end of each fiscal year, all prepared in accordance with the US GAAP or IFRS;</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Group Companies' Business Plan for the following fiscal year duly approved by the Board, setting forth (1) the projected balance sheets, income statements and statements of cash flows for such fiscal year of the Company on a quarterly basis; (2) the projected budgets; and (3) all other material matters relating to the operation, development and business of the Group Companies, at least thirty (30) days prior to the beginning of each fiscal year;</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table of the Company, within ten (10) days after the end of each calendar quarter, and the latest updated capitalization table within five (5) Business Days after any change to the capital structure of the Company;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operating data of the Group Companies within twenty (20) days after the end of each fiscal month; and</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written request by an Information Rights Holder but in any event within ten (10) days after the date of such written request, such other information relating to the financial condition and the Business of the Group Companies as such holder shall reasonably request;</w:t>
      </w:r>
    </w:p>
    <w:p>
      <w:pPr>
        <w:spacing w:after="0" w:line="176"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provided, however, that the Company shall not be obligated under this Article 33.1 to provide information (i) that the Board has reasonably determined in good faith is a trade secret or (ii) the disclosure of which would prejudice the attorney-client privilege between any of the Group Companies and their counsel.</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68" w:name="page369"/>
    <w:bookmarkEnd w:id="368"/>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8"/>
          <w:szCs w:val="18"/>
          <w:color w:val="auto"/>
        </w:rPr>
        <w:t>The Company further covenants and agrees that, each Information Rights Holder shall have (i) the right to inspect properties and facilities and inspect and audit records and books, compliance policies and procedures and related documents and correspondences in the possession of the Company, and to make copies or extracts therefrom, at any time during regular working hours on reasonable prior notice to the Company, and</w:t>
      </w:r>
    </w:p>
    <w:p>
      <w:pPr>
        <w:ind w:left="660" w:hanging="4"/>
        <w:spacing w:after="0" w:line="260" w:lineRule="auto"/>
        <w:tabs>
          <w:tab w:leader="none" w:pos="961"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discuss the business, operations and conditions of the Company with its directors, officers, accountants, legal counsel and investment bankers.</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7"/>
          <w:szCs w:val="17"/>
          <w:b w:val="1"/>
          <w:bCs w:val="1"/>
          <w:color w:val="auto"/>
        </w:rPr>
        <w:t>Appointment of Auditor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Directors may appoint an Auditor who shall hold office until removed from office by a resolution of the Directors, and may fix the Auditor’s remuneration.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b w:val="1"/>
          <w:bCs w:val="1"/>
          <w:color w:val="auto"/>
        </w:rPr>
        <w:t>Rights of Auditor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Auditor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39.3</w:t>
      </w:r>
      <w:r>
        <w:rPr>
          <w:sz w:val="20"/>
          <w:szCs w:val="20"/>
          <w:color w:val="auto"/>
        </w:rPr>
        <w:tab/>
      </w:r>
      <w:r>
        <w:rPr>
          <w:rFonts w:ascii="Times New Roman" w:cs="Times New Roman" w:eastAsia="Times New Roman" w:hAnsi="Times New Roman"/>
          <w:sz w:val="17"/>
          <w:szCs w:val="17"/>
          <w:b w:val="1"/>
          <w:bCs w:val="1"/>
          <w:color w:val="auto"/>
        </w:rPr>
        <w:t>Reporting requirements of Auditor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Auditor shall, if so required by the Directors, make a report on the accounts of the Company during the Auditor's tenure of office at the next general meeting following their appointment, and at any other time during the Auditor's term of office, upon request of the Directors or any general meeting of the Company.</w:t>
      </w:r>
    </w:p>
    <w:p>
      <w:pPr>
        <w:spacing w:after="0" w:line="172" w:lineRule="exact"/>
        <w:rPr>
          <w:sz w:val="20"/>
          <w:szCs w:val="20"/>
          <w:color w:val="auto"/>
        </w:rPr>
      </w:pPr>
    </w:p>
    <w:p>
      <w:pPr>
        <w:ind w:left="660" w:hanging="652"/>
        <w:spacing w:after="0"/>
        <w:tabs>
          <w:tab w:leader="none" w:pos="66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7"/>
          <w:szCs w:val="17"/>
          <w:b w:val="1"/>
          <w:bCs w:val="1"/>
          <w:color w:val="auto"/>
        </w:rPr>
        <w:t>Form and method of giving notices</w:t>
      </w:r>
    </w:p>
    <w:p>
      <w:pPr>
        <w:spacing w:after="0" w:line="229" w:lineRule="exact"/>
        <w:rPr>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shall be in writing and may be given by: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to the Company by delivering such notice at the Registered Office. Notices may be delivered in person, by post, email or facsimile but shall only be validly served on the Company if such notice is actually received by the Registered Office on behalf of the Company;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any Member either personally or by sending it by post, email or facsimile to his address as shown in the Register of Members, and where such a notice is:</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post, service of the notice shall be deemed to be effected by properly addressing, pre-paying and posting a letter containing the notice, and shall be deemed to have been received on the fifth day (not including Saturdays or Sundays or public holidays) following the day on which the notice was posted;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9" w:name="page370"/>
    <w:bookmarkEnd w:id="369"/>
    <w:p>
      <w:pPr>
        <w:ind w:left="2600" w:right="20" w:hanging="648"/>
        <w:spacing w:after="0" w:line="282" w:lineRule="auto"/>
        <w:tabs>
          <w:tab w:leader="none" w:pos="260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service of the notice shall be deemed to be effected by transmitting the facsimile to the number provided by the intended recipient and shall be deemed to have been received on the same day that it was sent; and</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if posted from one country to another, is to be sent by airmail.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7"/>
          <w:szCs w:val="17"/>
          <w:b w:val="1"/>
          <w:bCs w:val="1"/>
          <w:color w:val="auto"/>
        </w:rPr>
        <w:t>Persons entitled to Shares by transmission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 notice may be given by the Company to any person the Company has been advised is entitled to any Share in consequence of the death, bankruptcy, liquidation or dissolution of a Member in the same manner as other notices which are required to be given under these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bankruptcy, liquidation or dissolution had not occurred.</w:t>
      </w:r>
    </w:p>
    <w:p>
      <w:pPr>
        <w:spacing w:after="0" w:line="179" w:lineRule="exact"/>
        <w:rPr>
          <w:sz w:val="20"/>
          <w:szCs w:val="20"/>
          <w:color w:val="auto"/>
        </w:rPr>
      </w:pPr>
    </w:p>
    <w:p>
      <w:pPr>
        <w:ind w:left="660" w:hanging="652"/>
        <w:spacing w:after="0"/>
        <w:tabs>
          <w:tab w:leader="none" w:pos="66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WINDING UP</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color w:val="auto"/>
        </w:rPr>
        <w:t>Distribution of assets in a winding up</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these Articles and any rights or restrictions for the time being attached to any class of Shares, on a winding up of the Company the liquidator may, with the sanction of a Special Resolution of the Company and any other sanction required by the Companies Act, distribute among the Members the whole or any part of the assets of the Company (whether they shall consist of property of the same kind or not) and may for that purpose:</w:t>
      </w:r>
    </w:p>
    <w:p>
      <w:pPr>
        <w:spacing w:after="0" w:line="180" w:lineRule="exact"/>
        <w:rPr>
          <w:sz w:val="20"/>
          <w:szCs w:val="20"/>
          <w:color w:val="auto"/>
        </w:rPr>
      </w:pPr>
    </w:p>
    <w:p>
      <w:pPr>
        <w:ind w:left="1300" w:hanging="644"/>
        <w:spacing w:after="0"/>
        <w:tabs>
          <w:tab w:leader="none" w:pos="1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how the assets are to be distributed as between the Members or different classes of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the assets to be distributed in such manner as the liquidator thinks fit;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any assets in such trustees and on such trusts for the benefit of the Members entitled to the distribution of those assets as the liquidator sees fit, but so that no Member shall be obliged to accept any assets in respect of which there is any liability.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0" w:name="page371"/>
    <w:bookmarkEnd w:id="370"/>
    <w:p>
      <w:pPr>
        <w:ind w:left="660" w:hanging="652"/>
        <w:spacing w:after="0"/>
        <w:tabs>
          <w:tab w:leader="none" w:pos="66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AND INSURANCE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Indemnity and limitation of liability of Directors and officers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law, every current and former Director and officer of the Company (excluding an Auditor but including an alternate Director and the proxy of a Director)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(each a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which such Indemnified Person may incur in that capacity unless such Liability arose as a result of the actual fraud or wilful default of such person.</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 to the Company for any loss or damage resulting (directly or indirectly) from such Indemnified Person carrying out his or her duties unless that liability arises through the actual fraud or wilful default of such Indemnified Person.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these Articles, no Indemnified Person shall be deemed to have committed "actual fraud" or "wilful default" until a court of competent jurisdiction has made a final, non-appealable finding to that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Advance of legal fees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shall advance to each Indemnified Person reasonable legal fees and other costs and expenses incurred in connection with the defence of any action, suit, proceeding or investigation involving such Indemnified Person for which indemnity will or could be sought. In connection with any such advance of expenses, the Indemnified Person shall execute an undertaking to repay the advanced amount to the Company if it is determined that the Indemnified Person was not entitled to indemnification under these Articles.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color w:val="auto"/>
        </w:rPr>
        <w:t>Indemnification to form part of contract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indemnification and exculpation provisions of these Articles are deemed to form part of the employment contract or terms of appointment entered into by each Indemnified Person with the Company and accordingly are enforceable by such persons against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42.4</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Directors may purchase and maintain insurance for or for the benefit of any Indemnified Person including (without prejudice to the generality of the foregoing) insurance against any Liability incurred by such persons in respect of any act or omission in the actual or purported execution or discharge of their duties or the exercise or purported exercise of their powers or otherwise in relation to or in connection with their duties, powers or offices in relation to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1" w:name="page372"/>
    <w:bookmarkEnd w:id="371"/>
    <w:p>
      <w:pPr>
        <w:ind w:left="652" w:hanging="652"/>
        <w:spacing w:after="0"/>
        <w:tabs>
          <w:tab w:leader="none" w:pos="65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DISCLOSURE</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to do so under the laws of any jurisdiction to which the Company (or any of its service providers) is subject, or in compliance with the rules of any stock exchange upon which any Shares are listed, or to ensure the compliance by any person with any anti-money laundering legislation in any relevant jurisdiction, any Director, officer or service provider (acting on behalf of the Company) shall be entitled to release or disclose any information in its possession regarding the affairs of the Company or a Member, including, without limitation, any information contained in the Register of Members or subscription documentation of the Company relating to any Member.</w:t>
      </w:r>
    </w:p>
    <w:p>
      <w:pPr>
        <w:spacing w:after="0" w:line="17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resolve otherwise, the financial year of the Company shall end on 31 December in each year and, following the year of incorporation, shall begin on 1 January in each year.</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ind w:left="65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with the approval of a Special Resolution, have the power to register by way of continuation to a jurisdiction outside of the Cayman Islands in accordance with the Companies Act.</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TRANSPARENCY REPORTING</w:t>
      </w:r>
    </w:p>
    <w:p>
      <w:pPr>
        <w:spacing w:after="0" w:line="229" w:lineRule="exact"/>
        <w:rPr>
          <w:sz w:val="20"/>
          <w:szCs w:val="20"/>
          <w:color w:val="auto"/>
        </w:rPr>
      </w:pPr>
    </w:p>
    <w:p>
      <w:pPr>
        <w:jc w:val="both"/>
        <w:ind w:left="652" w:hanging="647"/>
        <w:spacing w:after="0" w:line="255" w:lineRule="auto"/>
        <w:tabs>
          <w:tab w:leader="none" w:pos="632"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8"/>
          <w:szCs w:val="18"/>
          <w:color w:val="auto"/>
        </w:rPr>
        <w:t>Each Member shall provide the Company on a timely basis with any documents, tax certifications, financial and other information (collectively "</w:t>
      </w:r>
      <w:r>
        <w:rPr>
          <w:rFonts w:ascii="Times New Roman" w:cs="Times New Roman" w:eastAsia="Times New Roman" w:hAnsi="Times New Roman"/>
          <w:sz w:val="18"/>
          <w:szCs w:val="18"/>
          <w:b w:val="1"/>
          <w:bCs w:val="1"/>
          <w:color w:val="auto"/>
        </w:rPr>
        <w:t>Tax Reporting Information</w:t>
      </w:r>
      <w:r>
        <w:rPr>
          <w:rFonts w:ascii="Times New Roman" w:cs="Times New Roman" w:eastAsia="Times New Roman" w:hAnsi="Times New Roman"/>
          <w:sz w:val="18"/>
          <w:szCs w:val="18"/>
          <w:color w:val="auto"/>
        </w:rPr>
        <w:t>") as the Company may request in connection with the Company's compliance with any legal and tax information reporting and exchange obligations applicable to it under the laws of the Cayman Islands or any other applicable jurisdiction (collectively,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including, without limitation, any Tax Reporting Obligations under any Cayman Islands laws, regulations or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that give effect to: (i) the United States' Foreign Account Tax Compliance Act; (ii) the Organisation for Economic Co-operation and Development's Common Reporting Standard; and (iii) any additional inter-governmental agreement or treaty entered into by, or otherwise binding upon the Cayman Islands that provides for the exchange of tax information with another jurisdiction.</w:t>
      </w:r>
    </w:p>
    <w:p>
      <w:pPr>
        <w:spacing w:after="0" w:line="189" w:lineRule="exact"/>
        <w:rPr>
          <w:sz w:val="20"/>
          <w:szCs w:val="20"/>
          <w:color w:val="auto"/>
        </w:rPr>
      </w:pPr>
    </w:p>
    <w:p>
      <w:pPr>
        <w:jc w:val="both"/>
        <w:ind w:left="652"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46.2</w:t>
      </w:r>
      <w:r>
        <w:rPr>
          <w:sz w:val="20"/>
          <w:szCs w:val="20"/>
          <w:color w:val="auto"/>
        </w:rPr>
        <w:tab/>
      </w:r>
      <w:r>
        <w:rPr>
          <w:rFonts w:ascii="Times New Roman" w:cs="Times New Roman" w:eastAsia="Times New Roman" w:hAnsi="Times New Roman"/>
          <w:sz w:val="18"/>
          <w:szCs w:val="18"/>
          <w:color w:val="auto"/>
        </w:rPr>
        <w:t>The Company shall have the power to release, report or otherwise disclose to the Department for International Tax Cooperation in the Cayman Islands (or any other authority as may be required under the Tax Reporting Obligations) any Tax Reporting Information provided by a Member to the Company and any other information held by the Company in respect of the Member's investment in the Company, in connection with the Tax Reporting Obligations, including, without limitation, in relation to the identity, address, tax identification number, tax status and interest in the Company of the Member (and any of its direct or indirect owners or affiliates).</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72" w:name="page373"/>
    <w:bookmarkEnd w:id="372"/>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A-1 – RESERVED BOARD MATTERS</w:t>
      </w:r>
    </w:p>
    <w:p>
      <w:pPr>
        <w:spacing w:after="0" w:line="229" w:lineRule="exact"/>
        <w:rPr>
          <w:sz w:val="20"/>
          <w:szCs w:val="20"/>
          <w:color w:val="auto"/>
        </w:rPr>
      </w:pPr>
    </w:p>
    <w:p>
      <w:pPr>
        <w:jc w:val="both"/>
        <w:ind w:left="640" w:hanging="632"/>
        <w:spacing w:after="0" w:line="258"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anti-dilution adjustments under these Articles and the applicable Requisite Approvals by the Members, formulate any proposals to allot, or make any change to the authorised or issued share or loan capital of the Company from time to time, or issue or agree to issue or grant any Securities, or consolidate, subdivide or convert any of its Securities (including, for the avoidance of doubt, any such actions that may result in dilution to a Member's shareholding in the Company), save where it is pursuant to the ESOP or otherwise to comply with the provisions of the Shareholders Agreement.</w:t>
      </w:r>
    </w:p>
    <w:p>
      <w:pPr>
        <w:spacing w:after="0" w:line="183"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plans for the merger, demerger or dissolution of the Company or any alteration of the form of the Company's organization, subject to the applicable Requisite Approvals by the Members.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cause or permit to be created, any Encumbrance whatsoever over the whole or any part of the undertaking, property or assets of the Group in favour of an entity other than a Group Company (subject to the applicable Requisite Approvals by the Members if the creation of such Encumbrance is not within the ordinary course of business of the Group).</w:t>
      </w:r>
    </w:p>
    <w:p>
      <w:pPr>
        <w:spacing w:after="0" w:line="17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loan(s) or other form of financial assistance to an entity other than a Group Company amounting, on its own or in the aggregate, to more than USD 300,000.</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equity investments by the Company, such as the investments in any joint venture with third parties.</w:t>
      </w:r>
    </w:p>
    <w:p>
      <w:pPr>
        <w:spacing w:after="0" w:line="22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borrowing or otherwise incurring any indebtedness (save as otherwise approved in the annual budget of the Company) which amounts to (whether as a single transaction or a series of transactions) to more than USD 4,500,000 in aggregate within a quarter of a Financial Year.</w:t>
      </w:r>
    </w:p>
    <w:p>
      <w:pPr>
        <w:spacing w:after="0" w:line="175"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transactions involving the Company taking out one or more loan(s) or otherwise incur such amount of indebtedness which in aggregate exceeds USD 4,500,000 within a quarter of a Financial Year.</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loan, guarantees or financing arrangements to any director, member of the senior management personnel or employee of any Group Company.</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transaction(s) between any Group Company (on one hand) and any directors, members of the senior management personnel or employees (or their respective Affiliates) of any Group Companies (on the other hand) which exceed USD 75,000 (whether as a single transaction or a series of transactions).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3" w:name="page374"/>
    <w:bookmarkEnd w:id="373"/>
    <w:p>
      <w:pPr>
        <w:ind w:left="640" w:hanging="632"/>
        <w:spacing w:after="0" w:line="282"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terms and particulars of the ESOP, subject to approval by the Members and any additional approval requirement set out in the Shareholders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major investment and financing plans of the Company (including but not limited to IPO proposals).</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appointment or replacement of the Company's auditors or auditing firm, and material changes to the accounting policies and auditing procedures.</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appointment or engagement of employees or members of senior management of the Company whose monthly salary exceeds USD 15,000, but excluding esports players.</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investment in, or financial assistance to, third parties outside of the ordinary course of business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A-2 – ORDINARY BOARD MATTERS</w:t>
      </w:r>
    </w:p>
    <w:p>
      <w:pPr>
        <w:spacing w:after="0" w:line="229" w:lineRule="exact"/>
        <w:rPr>
          <w:sz w:val="20"/>
          <w:szCs w:val="20"/>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 meeting of Members and any reporting to be made at such meeting.</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resolutions passed by the Members.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and implement day-to-day business decisions for the Company.</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the Company's proposed annual budget and final accounts for approval by the Members.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the Company's plans for dividend distribution and deficit management for approval by the Members.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of internal management committees of the Company.</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of procedures, protocols and other management regulations of the Company.</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eligible for determination by the Board in accordance with Applicable Laws (but excluding any Reserved Board Matter).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B-1 - SHAREHOLDERS RESERVED MATTERS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Allot, any change to the authorised or issued share or loan capital of the Company from time to time, or issue or agree to issue or grant any Securities, or consolidate, subdivide or convert any of its Securities (including, for the avoidance of doubt, (i) any such actions that may result in dilution to a Member's shareholding in the Company, ; and (ii) any such actions relating to the implementation of the Restructuring Plan, in which case the approval from the relevant Shareholders shall not be unreasonably withheld or delayed) save where it is pursuant to the ESOP, or otherwise to comply with the provisions of 15 </w:t>
      </w:r>
      <w:r>
        <w:rPr>
          <w:rFonts w:ascii="Times New Roman" w:cs="Times New Roman" w:eastAsia="Times New Roman" w:hAnsi="Times New Roman"/>
          <w:sz w:val="18"/>
          <w:szCs w:val="18"/>
          <w:i w:val="1"/>
          <w:iCs w:val="1"/>
          <w:color w:val="auto"/>
        </w:rPr>
        <w:t>(Performance Ratchet)</w:t>
      </w:r>
      <w:r>
        <w:rPr>
          <w:rFonts w:ascii="Times New Roman" w:cs="Times New Roman" w:eastAsia="Times New Roman" w:hAnsi="Times New Roman"/>
          <w:sz w:val="18"/>
          <w:szCs w:val="18"/>
          <w:color w:val="auto"/>
        </w:rPr>
        <w:t xml:space="preserve">, 16 </w:t>
      </w:r>
      <w:r>
        <w:rPr>
          <w:rFonts w:ascii="Times New Roman" w:cs="Times New Roman" w:eastAsia="Times New Roman" w:hAnsi="Times New Roman"/>
          <w:sz w:val="18"/>
          <w:szCs w:val="18"/>
          <w:i w:val="1"/>
          <w:iCs w:val="1"/>
          <w:color w:val="auto"/>
        </w:rPr>
        <w:t>(Redemption right by Preferred Shareholders</w:t>
      </w:r>
      <w:r>
        <w:rPr>
          <w:rFonts w:ascii="Times New Roman" w:cs="Times New Roman" w:eastAsia="Times New Roman" w:hAnsi="Times New Roman"/>
          <w:sz w:val="18"/>
          <w:szCs w:val="18"/>
          <w:color w:val="auto"/>
        </w:rPr>
        <w:t>) and 16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Preference</w:t>
      </w:r>
      <w:r>
        <w:rPr>
          <w:rFonts w:ascii="Times New Roman" w:cs="Times New Roman" w:eastAsia="Times New Roman" w:hAnsi="Times New Roman"/>
          <w:sz w:val="18"/>
          <w:szCs w:val="18"/>
          <w:color w:val="auto"/>
        </w:rPr>
        <w:t>) of the Shareholders Agreement.</w:t>
      </w:r>
    </w:p>
    <w:p>
      <w:pPr>
        <w:spacing w:after="0" w:line="18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Articles of the Company.</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vary any rights attaching to the issued or unissued Securities, save where it is pursuant to the ESOP.</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to carry on, or materially alter the nature or scope of, the Business or commence any business or operational activities other than the Business.</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cause or permit to be created, any Encumbrance whatsoever over the whole or any part of the undertaking, property or assets of the Group in favour of an entity other than a Group Company which is not within the ordinary course of business of the Group.</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the whole or a substantial part of the business, undertaking, property or assets of the Group, including but not limited to a Drag-Along Sale or any disposal of the right of participation in esports tournaments and league spots.</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other assets or business by the Group which involve an issuance of New Securities by the Company as consideration (partial or otherwise).</w:t>
      </w:r>
    </w:p>
    <w:p>
      <w:pPr>
        <w:spacing w:after="0" w:line="161"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receiver, administrator or other form of external manager for the liquidation or dissolution or winding up of the Company or any Group Company, or the passing of any resolution of the Directors or the Members in respect thereof.</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permit an increase in the maximum number of the Directors as set out in the Articles (subject to any additional approval requirements as required under the Shareholders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decisions on the Company's Business Plan.</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and adopt the Company's annual budget and final accounts.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Company's plan for profit distribution and deficit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5" w:name="page376"/>
    <w:bookmarkEnd w:id="375"/>
    <w:p>
      <w:pPr>
        <w:ind w:left="640" w:right="20" w:hanging="632"/>
        <w:spacing w:after="0" w:line="282" w:lineRule="auto"/>
        <w:tabs>
          <w:tab w:leader="none" w:pos="6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formulation or amendment of the ESOP as proposed by the Board (subject to any additional approval requirement set out in the Shareholders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provision of any guarantees by the Company to any of its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B-2 – SHAREHOLDERS ORDINARY MATTERS</w:t>
      </w:r>
    </w:p>
    <w:p>
      <w:pPr>
        <w:spacing w:after="0" w:line="229" w:lineRule="exact"/>
        <w:rPr>
          <w:sz w:val="20"/>
          <w:szCs w:val="20"/>
          <w:color w:val="auto"/>
        </w:rPr>
      </w:pPr>
    </w:p>
    <w:p>
      <w:pPr>
        <w:ind w:left="640" w:hanging="632"/>
        <w:spacing w:after="0" w:line="282" w:lineRule="auto"/>
        <w:tabs>
          <w:tab w:leader="none" w:pos="6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election and replacement of Directors, and as well as decisions relating to the remuneration of Directors (subject to any additional approval requirement set out in the Shareholders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Directors' report.</w:t>
      </w:r>
    </w:p>
    <w:p>
      <w:pPr>
        <w:spacing w:after="0" w:line="225"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required to be approved by the Members in accordance with Applicable Laws (but excluding any Shareholders Reserved Matters).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6" w:name="page377"/>
    <w:bookmarkEnd w:id="376"/>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Trigger 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 VE Redemption Trigger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following shall constitute a VE Redemption Trigger Event: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fails to obtain a receipt from the China Securities Regulatory Commission, the Hong Kong Securities Regulatory Commission, the SEC or Qualified Exchange accepting the Company's application for IPO by 31 January 2024; or (ii) the Company fails to achieve the Qualified IPO on or before 31 January 2025.</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any of the VE Founder Parties of its obligations hereunder.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 Group Company conducting any off-account sales and causing material impacts on the financial performance of the Group and damage to the interests of the Group or any Preferred Shareholders accordingly.</w:t>
      </w:r>
    </w:p>
    <w:p>
      <w:pPr>
        <w:spacing w:after="0" w:line="161" w:lineRule="exact"/>
        <w:rPr>
          <w:rFonts w:ascii="Times New Roman" w:cs="Times New Roman" w:eastAsia="Times New Roman" w:hAnsi="Times New Roman"/>
          <w:sz w:val="18"/>
          <w:szCs w:val="18"/>
          <w:color w:val="auto"/>
        </w:rPr>
      </w:pPr>
    </w:p>
    <w:p>
      <w:pPr>
        <w:ind w:left="660" w:right="84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Applicable Laws by the operation of any VE Group Companies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 VE Founder of his non-compete obligations hereunder, resulting in material Losses by the Group and/or any of the VE Financial Shareholders.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whole or a substantial part of the business, undertaking, property or assets of the VE Group Companies (including but not limited to the right of participation in esports tournaments and league spots) without the Requisite Approvals.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dishonesty, fraud, wilful default, or gross negligence committed by any of the VE Founder Parties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by any VE Financial Shareholder for redemption of any Class A or Class B Preferred Shares upon occurrence of any events listed in items (1) to (7)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B – NIP Redemption Trigger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following shall constitute a NIP Redemption Trigger Event: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fails to obtain a receipt from the China Securities Regulatory Commission, the Hong Kong Securities Regulatory Commission, the SEC or a Qualified Exchange accepting the Company's application for IPO by 31 January 2024; or (ii) the Company fails to achieve the Qualified IPO on or before 31 January 2025.</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the Company, as determined by an Independent Valuer, does not exceed USD 250 million by 31 December 2023.</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any of the VE Founder Parties of its obligations 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7" w:name="page378"/>
    <w:bookmarkEnd w:id="377"/>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 Group Company conducting any off-account sales and causing material impacts on the financial performance of the Group and damage to the interests of the Group or any Preferred Shareholders accordingly.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Applicable Laws by the operation of any VE Group Companies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 VE Founder of his non-compete obligations hereunder, resulting in material Losses by the Group and/or any of the Preferred Shareholders (including, for the avoidance of doubt, the VE Financial Shareholders).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whole or a substantial part of the business, undertaking, property or assets of the VE Group Companies (including but not limited to the right of participation in esports tournaments and league spots) without the Requisite Approvals.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dishonesty, fraud, wilful default, or gross negligence committed by any of the VE Founder Parties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VE Group Companies fail to obtain the formal league approvals for the change of ownership in respect of the league slots related to League of Legends LOL, Honor of Kings and/or CrossFire Pro League, which results in the loss or suspension of any of such league slots or otherwise materially impacts the financial performance of the Group.</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Restructuring Plan (including any material breach of the Applicable Laws in connection with the implementation of the Restructuring Plan) or the failure of the Company to implement the dismantling of its VIE structure in accordance with the Restructuring Plan has resulted in or might reasonably be expected to material impact on the financial performance of the Group.</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VE Revenue based on the audit by an independent certified public accounting firm of internationally recognized standing according to the US GAAP for the purpose of the application for IPO is lower than USD 41,400,000.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C – NIP Special Redemption Trigger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following shall constitute a NIP Special Redemption Trigger Event:</w:t>
      </w:r>
    </w:p>
    <w:p>
      <w:pPr>
        <w:spacing w:after="0" w:line="225" w:lineRule="exact"/>
        <w:rPr>
          <w:sz w:val="20"/>
          <w:szCs w:val="20"/>
          <w:color w:val="auto"/>
        </w:rPr>
      </w:pPr>
    </w:p>
    <w:p>
      <w:pPr>
        <w:ind w:left="660" w:hanging="652"/>
        <w:spacing w:after="0"/>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any of the NIP Founder Parties of its obligations under the Shareholders Agreement.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NIP Group Company conducting any off-account sales and causing material impacts on the financial performance of the Group and damage to the interests of the Group or any Preferred Shareholders accordingly.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Applicable Laws by the operation of any NIP Group Companies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whole or a substantial part of the business, undertaking, property or assets of the NIP Group Companies without the Requisite Approvals.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8" w:name="page379"/>
    <w:bookmarkEnd w:id="378"/>
    <w:p>
      <w:pPr>
        <w:ind w:left="652" w:hanging="652"/>
        <w:spacing w:after="0" w:line="282" w:lineRule="auto"/>
        <w:tabs>
          <w:tab w:leader="none" w:pos="65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dishonesty, fraud, wilful default, or gross negligence committed by any NIP Shareholder which in turn materially impacts the financial performance of the Group.</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Ninjas in Pyjamas Gaming AB or any of its Affiliates failing to acquire 51% or more of the total issued shares of (i) Blonde INC AB (or any of its Affiliates), or (ii) Nmbrs Production AB (or any of its Affiliates), or (ii) any other target company engaging in similar type of business, having a projected annual revenue of not less than 42,000,000 Danish Krone in the financial year of 2023 (i.e., the period from 1 January 2023 to 31 December 2023), by no later than 31 December 2023, provided, however, that such failure shall not constitute a NIP Special Redemption Trigger Event if the VE Directors and/or the VE Shareholders have unreasonably withheld or delayed in providing the Requisite Approvals for the aforesaid acquisition; or (B) the Equity Ratio of the VE Shareholders have been diluted due to the implementation of the aforesaid acquisition (unless such dilution has been agreed by the VE Shareholders).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79" w:name="page380"/>
    <w:bookmarkEnd w:id="379"/>
    <w:p>
      <w:pPr>
        <w:ind w:left="9840"/>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258" w:lineRule="exact"/>
        <w:rPr>
          <w:sz w:val="20"/>
          <w:szCs w:val="20"/>
          <w:color w:val="auto"/>
        </w:rPr>
      </w:pPr>
    </w:p>
    <w:p>
      <w:pPr>
        <w:jc w:val="center"/>
        <w:ind w:right="400"/>
        <w:spacing w:after="0" w:line="266" w:lineRule="auto"/>
        <w:rPr>
          <w:sz w:val="20"/>
          <w:szCs w:val="20"/>
          <w:color w:val="auto"/>
        </w:rPr>
      </w:pPr>
      <w:r>
        <w:rPr>
          <w:rFonts w:ascii="Times New Roman" w:cs="Times New Roman" w:eastAsia="Times New Roman" w:hAnsi="Times New Roman"/>
          <w:sz w:val="18"/>
          <w:szCs w:val="18"/>
          <w:color w:val="auto"/>
        </w:rPr>
        <w:t>SPECIFIC TERMS IN THIS EXHIBIT HAVE BEEN OMITTED BECAUSE THEY BOTH ARE NOT MATERIAL AND WOULD BE COMPETITIVELY HARMFUL IF PUBLICLY DISCLOSED. THE TERMS HAVE BEEN MARKED AT THE APPROPRIATE PLACE WITH BRACKETS AND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123190</wp:posOffset>
            </wp:positionV>
            <wp:extent cx="356616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FIFTH AMENDED AND RESTATED SHAREHOLDERS</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142875</wp:posOffset>
            </wp:positionV>
            <wp:extent cx="356616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Dated 30 June 2023</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VE FOUNDERS</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VE FOUNDER HOLDCOS</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VE FINANCIAL SHAREHOLDERS</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VE ESOP PLATFORM</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SIG</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MCN SHAREHOLDERS</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NIP FOUNDERS</w:t>
      </w:r>
    </w:p>
    <w:p>
      <w:pPr>
        <w:spacing w:after="0" w:line="2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NIP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157480</wp:posOffset>
            </wp:positionV>
            <wp:extent cx="1019810" cy="48831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Baker &amp; McKenzie</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14th Floor, One Taikoo Place</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979 King's Road, Quarry Bay</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216" w:lineRule="exact"/>
        <w:rPr>
          <w:sz w:val="20"/>
          <w:szCs w:val="20"/>
          <w:color w:val="auto"/>
        </w:rPr>
      </w:pPr>
    </w:p>
    <w:p>
      <w:pPr>
        <w:ind w:left="4260"/>
        <w:spacing w:after="0" w:line="219" w:lineRule="exact"/>
        <w:rPr>
          <w:sz w:val="20"/>
          <w:szCs w:val="20"/>
          <w:color w:val="auto"/>
        </w:rPr>
      </w:pPr>
      <w:r>
        <w:rPr>
          <w:rFonts w:ascii="SimSun" w:cs="SimSun" w:eastAsia="SimSun" w:hAnsi="SimSun"/>
          <w:sz w:val="18"/>
          <w:szCs w:val="18"/>
          <w:color w:val="auto"/>
        </w:rPr>
        <w:t>香港鰂魚涌英皇道</w:t>
      </w:r>
      <w:r>
        <w:rPr>
          <w:rFonts w:ascii="Times New Roman" w:cs="Times New Roman" w:eastAsia="Times New Roman" w:hAnsi="Times New Roman"/>
          <w:sz w:val="18"/>
          <w:szCs w:val="18"/>
          <w:b w:val="1"/>
          <w:bCs w:val="1"/>
          <w:color w:val="auto"/>
        </w:rPr>
        <w:t xml:space="preserve"> 979 </w:t>
      </w:r>
      <w:r>
        <w:rPr>
          <w:rFonts w:ascii="SimSun" w:cs="SimSun" w:eastAsia="SimSun" w:hAnsi="SimSun"/>
          <w:sz w:val="18"/>
          <w:szCs w:val="18"/>
          <w:color w:val="auto"/>
          <w:highlight w:val="black"/>
        </w:rPr>
        <w:t>號</w:t>
      </w:r>
    </w:p>
    <w:p>
      <w:pPr>
        <w:spacing w:after="0" w:line="24" w:lineRule="exact"/>
        <w:rPr>
          <w:sz w:val="20"/>
          <w:szCs w:val="20"/>
          <w:color w:val="auto"/>
        </w:rPr>
      </w:pPr>
    </w:p>
    <w:p>
      <w:pPr>
        <w:ind w:left="4560"/>
        <w:spacing w:after="0" w:line="219" w:lineRule="exact"/>
        <w:rPr>
          <w:sz w:val="20"/>
          <w:szCs w:val="20"/>
          <w:color w:val="auto"/>
        </w:rPr>
      </w:pPr>
      <w:r>
        <w:rPr>
          <w:rFonts w:ascii="SimSun" w:cs="SimSun" w:eastAsia="SimSun" w:hAnsi="SimSun"/>
          <w:sz w:val="18"/>
          <w:szCs w:val="18"/>
          <w:color w:val="auto"/>
          <w:highlight w:val="black"/>
        </w:rPr>
        <w:t>太古坊一座</w:t>
      </w:r>
      <w:r>
        <w:rPr>
          <w:rFonts w:ascii="Times New Roman" w:cs="Times New Roman" w:eastAsia="Times New Roman" w:hAnsi="Times New Roman"/>
          <w:sz w:val="18"/>
          <w:szCs w:val="18"/>
          <w:b w:val="1"/>
          <w:bCs w:val="1"/>
          <w:color w:val="auto"/>
        </w:rPr>
        <w:t xml:space="preserve"> 14 </w:t>
      </w:r>
      <w:r>
        <w:rPr>
          <w:rFonts w:ascii="SimSun" w:cs="SimSun" w:eastAsia="SimSun" w:hAnsi="SimSun"/>
          <w:sz w:val="18"/>
          <w:szCs w:val="18"/>
          <w:color w:val="auto"/>
          <w:highlight w:val="black"/>
        </w:rPr>
        <w:t>樓</w:t>
      </w:r>
    </w:p>
    <w:p>
      <w:pPr>
        <w:spacing w:after="0" w:line="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www.bakermckenzie.com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443230</wp:posOffset>
            </wp:positionV>
            <wp:extent cx="713232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3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0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702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Effectiveness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Activities of the Group</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ESOP</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Management of the Group</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 meetings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Further obligations of Shareholders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New Securities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Transfers of Shares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Right of first refusal of Preferred Shareholders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Drag Along Right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Tag Along Right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Ratchet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 right by Preferred Shareholders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Non-competition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Qualified IPO</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Warranties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Default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Further assurance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Restrictions on announcements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 partnership</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Conflict with the Articles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33.</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34.</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Rights of third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35.</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Variation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37.</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Waiver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38.</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39.</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Acknowledgement by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41.</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Survival of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42.</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43.</w:t>
            </w:r>
          </w:p>
        </w:tc>
        <w:tc>
          <w:tcPr>
            <w:tcW w:w="9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Dispute resolution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List of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List of Shareholders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Particulars of the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List of Key 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Corporate Structure of the Group as at Completion (assuming the completion of the Restructuring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Articles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Reserved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 Transfers of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 Competing Business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10 Performance Ratchet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11 Redemption Trigger Events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12 Notice and Process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13 Deed of Adherence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____30 June____,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both"/>
        <w:ind w:left="640" w:hanging="632"/>
        <w:spacing w:after="0" w:line="268" w:lineRule="auto"/>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NIP Group Inc. </w:t>
      </w:r>
      <w:r>
        <w:rPr>
          <w:rFonts w:ascii="Times New Roman" w:cs="Times New Roman" w:eastAsia="Times New Roman" w:hAnsi="Times New Roman"/>
          <w:sz w:val="18"/>
          <w:szCs w:val="18"/>
          <w:color w:val="auto"/>
        </w:rPr>
        <w:t>(formerly known as ESVF Esports Group Inc.), an exempted company incorporated in the Cayman Islands with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number 371345) whose registered office is at Osiris International Cayman Limited, Suite #4-210, Governors Square, 23 Lime Tree Bay Avenue, PO Box 32311, Grand Cayman KY1-1209, Cayman Islands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individuals listed in </w:t>
      </w:r>
      <w:r>
        <w:rPr>
          <w:rFonts w:ascii="Times New Roman" w:cs="Times New Roman" w:eastAsia="Times New Roman" w:hAnsi="Times New Roman"/>
          <w:sz w:val="18"/>
          <w:szCs w:val="18"/>
          <w:u w:val="single" w:color="auto"/>
          <w:color w:val="auto"/>
        </w:rPr>
        <w:t>Part A-1 of 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VE Founders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listed in </w:t>
      </w:r>
      <w:r>
        <w:rPr>
          <w:rFonts w:ascii="Times New Roman" w:cs="Times New Roman" w:eastAsia="Times New Roman" w:hAnsi="Times New Roman"/>
          <w:sz w:val="18"/>
          <w:szCs w:val="18"/>
          <w:u w:val="single" w:color="auto"/>
          <w:color w:val="auto"/>
        </w:rPr>
        <w:t>Part A-2 of 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VE Founder Holdcos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listed in </w:t>
      </w:r>
      <w:r>
        <w:rPr>
          <w:rFonts w:ascii="Times New Roman" w:cs="Times New Roman" w:eastAsia="Times New Roman" w:hAnsi="Times New Roman"/>
          <w:sz w:val="18"/>
          <w:szCs w:val="18"/>
          <w:u w:val="single" w:color="auto"/>
          <w:color w:val="auto"/>
        </w:rPr>
        <w:t>Part A-3 of 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VE Financial Shareholders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listed in </w:t>
      </w:r>
      <w:r>
        <w:rPr>
          <w:rFonts w:ascii="Times New Roman" w:cs="Times New Roman" w:eastAsia="Times New Roman" w:hAnsi="Times New Roman"/>
          <w:sz w:val="18"/>
          <w:szCs w:val="18"/>
          <w:u w:val="single" w:color="auto"/>
          <w:color w:val="auto"/>
        </w:rPr>
        <w:t>Part A-4 of Schedule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VE ESOP Platform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listed in </w:t>
      </w:r>
      <w:r>
        <w:rPr>
          <w:rFonts w:ascii="Times New Roman" w:cs="Times New Roman" w:eastAsia="Times New Roman" w:hAnsi="Times New Roman"/>
          <w:sz w:val="18"/>
          <w:szCs w:val="18"/>
          <w:u w:val="single" w:color="auto"/>
          <w:color w:val="auto"/>
        </w:rPr>
        <w:t>Part A-5 of Schedule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SIG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line="286" w:lineRule="auto"/>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listed in </w:t>
      </w:r>
      <w:r>
        <w:rPr>
          <w:rFonts w:ascii="Times New Roman" w:cs="Times New Roman" w:eastAsia="Times New Roman" w:hAnsi="Times New Roman"/>
          <w:sz w:val="18"/>
          <w:szCs w:val="18"/>
          <w:u w:val="single" w:color="auto"/>
          <w:color w:val="auto"/>
        </w:rPr>
        <w:t>Part A-6 of Schedule 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MCN Shareholders</w:t>
      </w:r>
      <w:r>
        <w:rPr>
          <w:rFonts w:ascii="Times New Roman" w:cs="Times New Roman" w:eastAsia="Times New Roman" w:hAnsi="Times New Roman"/>
          <w:sz w:val="18"/>
          <w:szCs w:val="18"/>
          <w:color w:val="auto"/>
        </w:rPr>
        <w:t>", together with the VE Founder Holdcos, VE ESOP Platform, VE Financial Shareholders and SIG, the "</w:t>
      </w:r>
      <w:r>
        <w:rPr>
          <w:rFonts w:ascii="Times New Roman" w:cs="Times New Roman" w:eastAsia="Times New Roman" w:hAnsi="Times New Roman"/>
          <w:sz w:val="18"/>
          <w:szCs w:val="18"/>
          <w:b w:val="1"/>
          <w:bCs w:val="1"/>
          <w:color w:val="auto"/>
        </w:rPr>
        <w:t>VE Shareholders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listed in </w:t>
      </w:r>
      <w:r>
        <w:rPr>
          <w:rFonts w:ascii="Times New Roman" w:cs="Times New Roman" w:eastAsia="Times New Roman" w:hAnsi="Times New Roman"/>
          <w:sz w:val="18"/>
          <w:szCs w:val="18"/>
          <w:u w:val="single" w:color="auto"/>
          <w:color w:val="auto"/>
        </w:rPr>
        <w:t>Part B-1 of 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NIP Founders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listed in </w:t>
      </w:r>
      <w:r>
        <w:rPr>
          <w:rFonts w:ascii="Times New Roman" w:cs="Times New Roman" w:eastAsia="Times New Roman" w:hAnsi="Times New Roman"/>
          <w:sz w:val="18"/>
          <w:szCs w:val="18"/>
          <w:u w:val="single" w:color="auto"/>
          <w:color w:val="auto"/>
        </w:rPr>
        <w:t>Part B-2 of 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NIP Founder Holdcos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40" w:hanging="632"/>
        <w:spacing w:after="0" w:line="286" w:lineRule="auto"/>
        <w:tabs>
          <w:tab w:leader="none" w:pos="6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listed in </w:t>
      </w:r>
      <w:r>
        <w:rPr>
          <w:rFonts w:ascii="Times New Roman" w:cs="Times New Roman" w:eastAsia="Times New Roman" w:hAnsi="Times New Roman"/>
          <w:sz w:val="18"/>
          <w:szCs w:val="18"/>
          <w:u w:val="single" w:color="auto"/>
          <w:color w:val="auto"/>
        </w:rPr>
        <w:t>Part B-3 of 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NIP Financial Shareholders</w:t>
      </w:r>
      <w:r>
        <w:rPr>
          <w:rFonts w:ascii="Times New Roman" w:cs="Times New Roman" w:eastAsia="Times New Roman" w:hAnsi="Times New Roman"/>
          <w:sz w:val="18"/>
          <w:szCs w:val="18"/>
          <w:color w:val="auto"/>
        </w:rPr>
        <w:t>" and together with the NIP Founder Holdcos, the "</w:t>
      </w:r>
      <w:r>
        <w:rPr>
          <w:rFonts w:ascii="Times New Roman" w:cs="Times New Roman" w:eastAsia="Times New Roman" w:hAnsi="Times New Roman"/>
          <w:sz w:val="18"/>
          <w:szCs w:val="18"/>
          <w:b w:val="1"/>
          <w:bCs w:val="1"/>
          <w:color w:val="auto"/>
        </w:rPr>
        <w:t>NIP Shareholders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forgoing parties to this Agreement is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hanging="652"/>
        <w:spacing w:after="0" w:line="282"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an exempted company incorporated in the Cayman Islands. The short particulars of the Company as at the date of this Agreement are set out in </w:t>
      </w:r>
      <w:r>
        <w:rPr>
          <w:rFonts w:ascii="Times New Roman" w:cs="Times New Roman" w:eastAsia="Times New Roman" w:hAnsi="Times New Roman"/>
          <w:sz w:val="18"/>
          <w:szCs w:val="18"/>
          <w:u w:val="single" w:color="auto"/>
          <w:color w:val="auto"/>
        </w:rPr>
        <w:t>Part A of Schedule 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proposes to dismantle its existing VIE structure pursuant to certain approved restructuring plan (the “</w:t>
      </w:r>
      <w:r>
        <w:rPr>
          <w:rFonts w:ascii="Times New Roman" w:cs="Times New Roman" w:eastAsia="Times New Roman" w:hAnsi="Times New Roman"/>
          <w:sz w:val="18"/>
          <w:szCs w:val="18"/>
          <w:b w:val="1"/>
          <w:bCs w:val="1"/>
          <w:color w:val="auto"/>
        </w:rPr>
        <w:t>Restructuring Plan</w:t>
      </w:r>
      <w:r>
        <w:rPr>
          <w:rFonts w:ascii="Times New Roman" w:cs="Times New Roman" w:eastAsia="Times New Roman" w:hAnsi="Times New Roman"/>
          <w:sz w:val="18"/>
          <w:szCs w:val="18"/>
          <w:color w:val="auto"/>
        </w:rPr>
        <w:t>”). In accordance with the Restructuring Plan, the VIE Company (as defined below) shall reduce its registered capital and pay the corresponding consideration to its respective shareholder, and such shareholder or its Affiliate shall use such consideration (or its USD equivalent) to subscribe for certain number of shares in the Company.</w:t>
      </w:r>
    </w:p>
    <w:p>
      <w:pPr>
        <w:spacing w:after="0" w:line="1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30 June 2023, the Company and certain VE Financial Shareholders (being the shareholders of the VIE Company or such shareholders’ Affiliates, the “</w:t>
      </w:r>
      <w:r>
        <w:rPr>
          <w:rFonts w:ascii="Times New Roman" w:cs="Times New Roman" w:eastAsia="Times New Roman" w:hAnsi="Times New Roman"/>
          <w:sz w:val="18"/>
          <w:szCs w:val="18"/>
          <w:b w:val="1"/>
          <w:bCs w:val="1"/>
          <w:color w:val="auto"/>
        </w:rPr>
        <w:t>Subscription Shareholders</w:t>
      </w:r>
      <w:r>
        <w:rPr>
          <w:rFonts w:ascii="Times New Roman" w:cs="Times New Roman" w:eastAsia="Times New Roman" w:hAnsi="Times New Roman"/>
          <w:sz w:val="18"/>
          <w:szCs w:val="18"/>
          <w:color w:val="auto"/>
        </w:rPr>
        <w:t>”) have entered into a share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for the subscription of 4,121,883 Class A Preferred Shares in aggregate in the Company.</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3" w:name="page384"/>
    <w:bookmarkEnd w:id="383"/>
    <w:p>
      <w:pPr>
        <w:jc w:val="both"/>
        <w:ind w:left="660" w:hanging="652"/>
        <w:spacing w:after="0" w:line="266" w:lineRule="auto"/>
        <w:tabs>
          <w:tab w:leader="none" w:pos="6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date of this Agreement, each Shareholder of the Company (other than the Subscription Shareholders) has executed an application for shares (“</w:t>
      </w:r>
      <w:r>
        <w:rPr>
          <w:rFonts w:ascii="Times New Roman" w:cs="Times New Roman" w:eastAsia="Times New Roman" w:hAnsi="Times New Roman"/>
          <w:sz w:val="18"/>
          <w:szCs w:val="18"/>
          <w:b w:val="1"/>
          <w:bCs w:val="1"/>
          <w:color w:val="auto"/>
        </w:rPr>
        <w:t>Application for Shares</w:t>
      </w:r>
      <w:r>
        <w:rPr>
          <w:rFonts w:ascii="Times New Roman" w:cs="Times New Roman" w:eastAsia="Times New Roman" w:hAnsi="Times New Roman"/>
          <w:sz w:val="18"/>
          <w:szCs w:val="18"/>
          <w:color w:val="auto"/>
        </w:rPr>
        <w:t>”) and applied for the allotment of additional shares in the capital of the Company, so that after such allotment, its percentage of the total issued shares of the Company shall remain the same.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shareholding structure of the Company as at Completion is set forth in </w:t>
      </w:r>
      <w:r>
        <w:rPr>
          <w:rFonts w:ascii="Times New Roman" w:cs="Times New Roman" w:eastAsia="Times New Roman" w:hAnsi="Times New Roman"/>
          <w:sz w:val="18"/>
          <w:szCs w:val="18"/>
          <w:u w:val="single" w:color="auto"/>
          <w:color w:val="auto"/>
        </w:rPr>
        <w:t>Part B of Schedule 3</w:t>
      </w:r>
      <w:r>
        <w:rPr>
          <w:rFonts w:ascii="Times New Roman" w:cs="Times New Roman" w:eastAsia="Times New Roman" w:hAnsi="Times New Roman"/>
          <w:sz w:val="18"/>
          <w:szCs w:val="18"/>
          <w:color w:val="auto"/>
        </w:rPr>
        <w:t xml:space="preserve">. The corporate structure of the Group as at Completion (assuming the completion of the Restructuring Plan) is set forth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enter into this Agreement to set out their respective rights and obligations in relation to the management and control of the affairs of the Company on the terms and conditions of this Agreement.</w:t>
      </w:r>
    </w:p>
    <w:p>
      <w:pPr>
        <w:spacing w:after="0" w:line="158" w:lineRule="exact"/>
        <w:rPr>
          <w:sz w:val="20"/>
          <w:szCs w:val="20"/>
          <w:color w:val="auto"/>
        </w:rPr>
      </w:pPr>
    </w:p>
    <w:p>
      <w:pPr>
        <w:ind w:left="640" w:hanging="632"/>
        <w:spacing w:after="0"/>
        <w:tabs>
          <w:tab w:leader="none" w:pos="64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the following words and expressions shall, unless the context requires otherwise,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has the meaning set out in Clause 12.2.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Period</w:t>
      </w:r>
      <w:r>
        <w:rPr>
          <w:rFonts w:ascii="Times New Roman" w:cs="Times New Roman" w:eastAsia="Times New Roman" w:hAnsi="Times New Roman"/>
          <w:sz w:val="18"/>
          <w:szCs w:val="18"/>
          <w:color w:val="auto"/>
        </w:rPr>
        <w:t>" has the meaning set out in Clause 12.2.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Accepting Shareholder</w:t>
      </w:r>
      <w:r>
        <w:rPr>
          <w:rFonts w:ascii="Times New Roman" w:cs="Times New Roman" w:eastAsia="Times New Roman" w:hAnsi="Times New Roman"/>
          <w:sz w:val="18"/>
          <w:szCs w:val="18"/>
          <w:color w:val="auto"/>
        </w:rPr>
        <w:t>" has the meaning set out in Clause 12.3.</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that person; and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be construed accordingly, but on the basis that, (i) in respect of the VE Founders and the VE Founder Holdcos, the expressions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be taken to include any trusts or its Subsidiary Controlled by or for the benefit of such VE Founders and the VE Founder Holdcos, and (ii) in respect of any of the Shareholders, the expressions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not be taken to include any Group Company. Without prejudice to the foregoing, in the case of a Financial Shareholder which is an investment fund,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also include (to the extent applicable): (a) any general partner of either such Financial Shareholder or any person which, directly or indirectly, controls, is controlled by or is under the common control of such Financial Shareholder; (b) any limited partner of either such Financial Shareholder or any person which, directly or indirectly, controls, is controlled by or is under the common control of such Financial Shareholder, in each case provided that such limited partner holds, directly or indirectly, more than 50 percent (50%) of the limited partnership interests; (c) the fund manager managing either such Financial Shareholder or any person which, directly or indirectly, controls, is controlled by or is under the common control of such Financial Shareholder (and general partners and limited partners (which hold, directly or indirectly, more than 50 percent (50%) of the limited partnership interests) thereof) and other funds managed by such fund manager; and (d) funds managed by any of such Financial Shareholder's Affiliates and the general partners of such funds; and (e) trusts controlled by or for the benefit of any such person referred to in the foregoing paragraphs of (a), (b), (c) or (d); provided that, however, no portfolio company of any such Financial Shareholder or its Affiliates shall be deemed to be an Affiliate of such Financial Shareholder. Notwithstanding the foregoing,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with respect to any Shareholder shall not include any Competitor or such Competitor's Affiliates.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4" w:name="page385"/>
    <w:bookmarkEnd w:id="384"/>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Agreed Terms</w:t>
      </w:r>
      <w:r>
        <w:rPr>
          <w:rFonts w:ascii="Times New Roman" w:cs="Times New Roman" w:eastAsia="Times New Roman" w:hAnsi="Times New Roman"/>
          <w:sz w:val="18"/>
          <w:szCs w:val="18"/>
          <w:color w:val="auto"/>
        </w:rPr>
        <w:t>" has the meaning set out in Clause 30.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Shareholders Agreement, as may be amended by agreement in writing between the Parties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Notice</w:t>
      </w:r>
      <w:r>
        <w:rPr>
          <w:rFonts w:ascii="Times New Roman" w:cs="Times New Roman" w:eastAsia="Times New Roman" w:hAnsi="Times New Roman"/>
          <w:sz w:val="18"/>
          <w:szCs w:val="18"/>
          <w:color w:val="auto"/>
        </w:rPr>
        <w:t>" has the meaning set out in Clause 10.8.</w:t>
      </w:r>
    </w:p>
    <w:p>
      <w:pPr>
        <w:spacing w:after="0" w:line="22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foreign or domestic anti-bribery and/or anti-corruption: (a) laws, rules or regulations thereunder; (b) order of any court, tribunal or any other judicial body; and (c) rule, regulation, guideline or order of any public body, or any other administrative requirement, in each case which prohibits the giving, receiving, offering, accepting, authorising or promising anything of value, directly or through a third party, to any person or any other officer, employee, agent or adviser of such a person, in exchange for any improper advantage in obtaining or retaining business, including the US Foreign Corrupt Practices Act of 1977 and the United Kingdom's Bribery Act 2010 or similar anti-bribery laws or regulations in any jurisdictions to which any Parties or any of the Group Company is subject (in each case as amended, re-enacted or replaced from time to time), where and to the extent any of the above is/are applicable to or on any Party (or the Affiliate of any Party), regardless of nationality or geography.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Claim</w:t>
      </w:r>
      <w:r>
        <w:rPr>
          <w:rFonts w:ascii="Times New Roman" w:cs="Times New Roman" w:eastAsia="Times New Roman" w:hAnsi="Times New Roman"/>
          <w:sz w:val="18"/>
          <w:szCs w:val="18"/>
          <w:color w:val="auto"/>
        </w:rPr>
        <w:t>" has the meaning set out in Clause 10.14.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Right Holders</w:t>
      </w:r>
      <w:r>
        <w:rPr>
          <w:rFonts w:ascii="Times New Roman" w:cs="Times New Roman" w:eastAsia="Times New Roman" w:hAnsi="Times New Roman"/>
          <w:sz w:val="18"/>
          <w:szCs w:val="18"/>
          <w:color w:val="auto"/>
        </w:rPr>
        <w:t>" has the meaning set out in Clause 10.14.</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applicable law (whether civil, criminal and administrative), common law, statute, subordinate legislation, regulation, listing rules, decision, by-law, ministerial resolution, order, notice, decree, injunction, judgment or resolution of a Government Authority, and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xml:space="preserve">" means the seventh amended and restated memorandum and articles of association of the Company, in the form as set out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24" w:hanging="624"/>
        <w:spacing w:after="0" w:line="282" w:lineRule="auto"/>
        <w:tabs>
          <w:tab w:leader="none" w:pos="62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consent, authorization, registration, filing, lodgement, agreement, notarization, certificate, permission, licence, approval, authority or exemption from, by or with a Government Authority; or</w:t>
      </w:r>
    </w:p>
    <w:p>
      <w:pPr>
        <w:spacing w:after="0" w:line="161" w:lineRule="exact"/>
        <w:rPr>
          <w:rFonts w:ascii="Times New Roman" w:cs="Times New Roman" w:eastAsia="Times New Roman" w:hAnsi="Times New Roman"/>
          <w:sz w:val="18"/>
          <w:szCs w:val="18"/>
          <w:color w:val="auto"/>
        </w:rPr>
      </w:pPr>
    </w:p>
    <w:p>
      <w:pPr>
        <w:jc w:val="both"/>
        <w:ind w:left="624" w:hanging="624"/>
        <w:spacing w:after="0" w:line="266" w:lineRule="auto"/>
        <w:tabs>
          <w:tab w:leader="none" w:pos="62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anything which shall be fully or partly prohibited or restricted by Applicable Laws if a Government Authority intervenes or acts in any way within a specified period after lodgement, filing, registration or notification, the expiry of that period without intervention or action.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Bad Leaver</w:t>
      </w:r>
      <w:r>
        <w:rPr>
          <w:rFonts w:ascii="Times New Roman" w:cs="Times New Roman" w:eastAsia="Times New Roman" w:hAnsi="Times New Roman"/>
          <w:sz w:val="18"/>
          <w:szCs w:val="18"/>
          <w:color w:val="auto"/>
        </w:rPr>
        <w:t>" has the meaning given to it under Clause 18.2.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Company's board of directors as constituted from time to time.</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Bribery</w:t>
      </w:r>
      <w:r>
        <w:rPr>
          <w:rFonts w:ascii="Times New Roman" w:cs="Times New Roman" w:eastAsia="Times New Roman" w:hAnsi="Times New Roman"/>
          <w:sz w:val="18"/>
          <w:szCs w:val="18"/>
          <w:color w:val="auto"/>
        </w:rPr>
        <w:t>" means giving, receiving, offering, accepting, authorising or promising anything of value, directly or through a third party, in exchange for any improper advantage in obtaining, retaining, increasing, or avoiding the loss of, business or other advantage.</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85" w:name="page386"/>
    <w:bookmarkEnd w:id="385"/>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has the meaning set out in Clause 3.1.</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on which banks are normally open for businesses in Hong Kong, the Cayman Islands, the PRC and Sweden.</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Intellectual Property</w:t>
      </w:r>
      <w:r>
        <w:rPr>
          <w:rFonts w:ascii="Times New Roman" w:cs="Times New Roman" w:eastAsia="Times New Roman" w:hAnsi="Times New Roman"/>
          <w:sz w:val="18"/>
          <w:szCs w:val="18"/>
          <w:color w:val="auto"/>
        </w:rPr>
        <w:t>" means, at any time and from time to time, the Company's Intellectual Property and the Licensed Intellectual Property.</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means the most recent business plan of the Group approved by the Board or otherwise approved in accordance with this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has the meaning set out in Clause 6.19.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has the meaning set out in Clause 6.7.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24" w:hanging="624"/>
        <w:spacing w:after="0" w:line="266" w:lineRule="auto"/>
        <w:tabs>
          <w:tab w:leader="none" w:pos="6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amalgamation or merger of the Company with or into any other person or any other corporate reorganization, in which the Shareholders of the Company immediately prior to such consolidation, amalgamation, merger or reorganization, own less than 50% of the voting power of the Company or the surviving entity immediately after such consolidation, merger, amalgamation or reorganization;</w:t>
      </w:r>
    </w:p>
    <w:p>
      <w:pPr>
        <w:spacing w:after="0" w:line="175" w:lineRule="exact"/>
        <w:rPr>
          <w:rFonts w:ascii="Times New Roman" w:cs="Times New Roman" w:eastAsia="Times New Roman" w:hAnsi="Times New Roman"/>
          <w:sz w:val="18"/>
          <w:szCs w:val="18"/>
          <w:color w:val="auto"/>
        </w:rPr>
      </w:pPr>
    </w:p>
    <w:p>
      <w:pPr>
        <w:ind w:left="624" w:hanging="624"/>
        <w:spacing w:after="0" w:line="282" w:lineRule="auto"/>
        <w:tabs>
          <w:tab w:leader="none" w:pos="6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to which the Company is a party in which in excess of 50% of the Company's voting power is transferred, but excluding any transaction effected solely for tax purposes or to change the Company's domicile;</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lease or other disposition of all or substantially all of the assets of the Group; or</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of all or substantially all of the intellectual property of the Group,</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in each case other than (i) a consolidation with a wholly-owned Subsidiary of the Company; and (ii) a merger effected exclusively to change the domicile of the Company.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 Liquidation Amount</w:t>
      </w:r>
      <w:r>
        <w:rPr>
          <w:rFonts w:ascii="Times New Roman" w:cs="Times New Roman" w:eastAsia="Times New Roman" w:hAnsi="Times New Roman"/>
          <w:sz w:val="18"/>
          <w:szCs w:val="18"/>
          <w:color w:val="auto"/>
        </w:rPr>
        <w:t>" has the meaning set forth in Clause 17.1.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 Shareholders</w:t>
      </w:r>
      <w:r>
        <w:rPr>
          <w:rFonts w:ascii="Times New Roman" w:cs="Times New Roman" w:eastAsia="Times New Roman" w:hAnsi="Times New Roman"/>
          <w:sz w:val="18"/>
          <w:szCs w:val="18"/>
          <w:color w:val="auto"/>
        </w:rPr>
        <w:t>" means, collectively, all holders of Class A Preferred Shares (each, a "</w:t>
      </w:r>
      <w:r>
        <w:rPr>
          <w:rFonts w:ascii="Times New Roman" w:cs="Times New Roman" w:eastAsia="Times New Roman" w:hAnsi="Times New Roman"/>
          <w:sz w:val="18"/>
          <w:szCs w:val="18"/>
          <w:b w:val="1"/>
          <w:bCs w:val="1"/>
          <w:color w:val="auto"/>
        </w:rPr>
        <w:t>Class A Preferred Shareholder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Preferred Shares</w:t>
      </w:r>
      <w:r>
        <w:rPr>
          <w:rFonts w:ascii="Times New Roman" w:cs="Times New Roman" w:eastAsia="Times New Roman" w:hAnsi="Times New Roman"/>
          <w:sz w:val="18"/>
          <w:szCs w:val="18"/>
          <w:color w:val="auto"/>
        </w:rPr>
        <w:t>" has the meaning set out in the Articles, attached with such rights and subject to such restrictions as prescribed under this Agreement and the Articles.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Redemption Date</w:t>
      </w:r>
      <w:r>
        <w:rPr>
          <w:rFonts w:ascii="Times New Roman" w:cs="Times New Roman" w:eastAsia="Times New Roman" w:hAnsi="Times New Roman"/>
          <w:sz w:val="18"/>
          <w:szCs w:val="18"/>
          <w:color w:val="auto"/>
        </w:rPr>
        <w:t>" has the meaning set forth in Clause 16.6.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 Liquidation Amount</w:t>
      </w:r>
      <w:r>
        <w:rPr>
          <w:rFonts w:ascii="Times New Roman" w:cs="Times New Roman" w:eastAsia="Times New Roman" w:hAnsi="Times New Roman"/>
          <w:sz w:val="18"/>
          <w:szCs w:val="18"/>
          <w:color w:val="auto"/>
        </w:rPr>
        <w:t>" has the meaning set forth in Clause 17.1.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86" w:name="page387"/>
    <w:bookmarkEnd w:id="38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 Shareholders</w:t>
      </w:r>
      <w:r>
        <w:rPr>
          <w:rFonts w:ascii="Times New Roman" w:cs="Times New Roman" w:eastAsia="Times New Roman" w:hAnsi="Times New Roman"/>
          <w:sz w:val="18"/>
          <w:szCs w:val="18"/>
          <w:color w:val="auto"/>
        </w:rPr>
        <w:t>" means, collectively, all holders of Class B Preferred Shares (each, a "</w:t>
      </w:r>
      <w:r>
        <w:rPr>
          <w:rFonts w:ascii="Times New Roman" w:cs="Times New Roman" w:eastAsia="Times New Roman" w:hAnsi="Times New Roman"/>
          <w:sz w:val="18"/>
          <w:szCs w:val="18"/>
          <w:b w:val="1"/>
          <w:bCs w:val="1"/>
          <w:color w:val="auto"/>
        </w:rPr>
        <w:t>Class B Preferred Shareholder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Preferred Shares</w:t>
      </w:r>
      <w:r>
        <w:rPr>
          <w:rFonts w:ascii="Times New Roman" w:cs="Times New Roman" w:eastAsia="Times New Roman" w:hAnsi="Times New Roman"/>
          <w:sz w:val="18"/>
          <w:szCs w:val="18"/>
          <w:color w:val="auto"/>
        </w:rPr>
        <w:t>" has the meaning set out in the Articles, attached with such rights and subject to such restrictions as prescribed under this Agreement and the Articles.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Redemption Date</w:t>
      </w:r>
      <w:r>
        <w:rPr>
          <w:rFonts w:ascii="Times New Roman" w:cs="Times New Roman" w:eastAsia="Times New Roman" w:hAnsi="Times New Roman"/>
          <w:sz w:val="18"/>
          <w:szCs w:val="18"/>
          <w:color w:val="auto"/>
        </w:rPr>
        <w:t>" has the meaning set forth in Clause 16.5.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B-1 Preferred Shareholders</w:t>
      </w:r>
      <w:r>
        <w:rPr>
          <w:rFonts w:ascii="Times New Roman" w:cs="Times New Roman" w:eastAsia="Times New Roman" w:hAnsi="Times New Roman"/>
          <w:sz w:val="17"/>
          <w:szCs w:val="17"/>
          <w:color w:val="auto"/>
        </w:rPr>
        <w:t>" means, collectively, all holders of Class B-1 Preferred Shares (each, a "</w:t>
      </w:r>
      <w:r>
        <w:rPr>
          <w:rFonts w:ascii="Times New Roman" w:cs="Times New Roman" w:eastAsia="Times New Roman" w:hAnsi="Times New Roman"/>
          <w:sz w:val="17"/>
          <w:szCs w:val="17"/>
          <w:b w:val="1"/>
          <w:bCs w:val="1"/>
          <w:color w:val="auto"/>
        </w:rPr>
        <w:t>Class B-1 Preferred Shareholder</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B-1 Preferred Shares</w:t>
      </w:r>
      <w:r>
        <w:rPr>
          <w:rFonts w:ascii="Times New Roman" w:cs="Times New Roman" w:eastAsia="Times New Roman" w:hAnsi="Times New Roman"/>
          <w:sz w:val="18"/>
          <w:szCs w:val="18"/>
          <w:color w:val="auto"/>
        </w:rPr>
        <w:t>" has the meaning set out in the Articles, attached with such rights and subject to such restrictions as prescribed under this Agreement and the Articles.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Co-CEO</w:t>
      </w:r>
      <w:r>
        <w:rPr>
          <w:rFonts w:ascii="Times New Roman" w:cs="Times New Roman" w:eastAsia="Times New Roman" w:hAnsi="Times New Roman"/>
          <w:sz w:val="18"/>
          <w:szCs w:val="18"/>
          <w:color w:val="auto"/>
        </w:rPr>
        <w:t>" has the meaning set out in Clause 6.19.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any company or body corporate wherever incorporated.</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Competitors</w:t>
      </w:r>
      <w:r>
        <w:rPr>
          <w:rFonts w:ascii="Times New Roman" w:cs="Times New Roman" w:eastAsia="Times New Roman" w:hAnsi="Times New Roman"/>
          <w:sz w:val="18"/>
          <w:szCs w:val="18"/>
          <w:color w:val="auto"/>
        </w:rPr>
        <w:t>" means any such person which carries out any business activities that are in direct competition with the Business in any country or jurisdiction where any Group Company carries on the Business.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xml:space="preserve">" means such activities as set out in </w:t>
      </w:r>
      <w:r>
        <w:rPr>
          <w:rFonts w:ascii="Times New Roman" w:cs="Times New Roman" w:eastAsia="Times New Roman" w:hAnsi="Times New Roman"/>
          <w:sz w:val="18"/>
          <w:szCs w:val="18"/>
          <w:u w:val="single" w:color="auto"/>
          <w:color w:val="auto"/>
        </w:rPr>
        <w:t>Schedule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Competitors</w:t>
      </w:r>
      <w:r>
        <w:rPr>
          <w:rFonts w:ascii="Times New Roman" w:cs="Times New Roman" w:eastAsia="Times New Roman" w:hAnsi="Times New Roman"/>
          <w:sz w:val="18"/>
          <w:szCs w:val="18"/>
          <w:color w:val="auto"/>
        </w:rPr>
        <w:t>" means any of the Wuhan Douyu Competitors, the NIP Competitors or Company Competitors.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the closing under the Subscription Agreement and the Application for Shares.</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know-how, trade secrets and other information of a confidential nature (including all proprietary, technical, industrial and commercial information and techniques in whatever form held; including paper, electronically stored data, magnetic media film and microfilm or orally), which include, for example, client lists and the relevant personal data, client preferences, and client transactions; inventions, innovations, methods, designs, analyses, reports and all similar or related information (whether or not patentable); and technical data, market data, compilations of data and analyses, systems, formulae, research, records, reports, models, and data bases relating thereto.</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24" w:hanging="624"/>
        <w:spacing w:after="0"/>
        <w:tabs>
          <w:tab w:leader="none" w:pos="6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the ownership of or the ability to direct:</w:t>
      </w:r>
    </w:p>
    <w:p>
      <w:pPr>
        <w:spacing w:after="0" w:line="22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issued shares entitled to vote for election of directors (or analogous persons); or</w:t>
      </w:r>
    </w:p>
    <w:p>
      <w:pPr>
        <w:spacing w:after="0" w:line="225" w:lineRule="exact"/>
        <w:rPr>
          <w:rFonts w:ascii="Times New Roman" w:cs="Times New Roman" w:eastAsia="Times New Roman" w:hAnsi="Times New Roman"/>
          <w:sz w:val="18"/>
          <w:szCs w:val="18"/>
          <w:color w:val="auto"/>
        </w:rPr>
      </w:pPr>
    </w:p>
    <w:p>
      <w:pPr>
        <w:ind w:left="1264" w:hanging="616"/>
        <w:spacing w:after="0" w:line="282" w:lineRule="auto"/>
        <w:tabs>
          <w:tab w:leader="none" w:pos="12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directors having a majority of the voting rights exercisable at meetings of the board of directors on all or substantially all matters;</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person, the ownership of or the ability to direct a majority of the voting rights in that person; or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87" w:name="page388"/>
    <w:bookmarkEnd w:id="387"/>
    <w:p>
      <w:pPr>
        <w:jc w:val="both"/>
        <w:ind w:left="624" w:hanging="624"/>
        <w:spacing w:after="0" w:line="266" w:lineRule="auto"/>
        <w:tabs>
          <w:tab w:leader="none" w:pos="6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or any other person, the direct or indirect possession of the power to direct or cause the direction of its financial and operational management and policies (including through the ownership and/or Control (directly or indirectly) of voting shares, by a management or advisory agreement, by contract, by agency or otherwise),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shall mean any Ordinary Shares issuable or issued upon conversion of the Preferred Shares in accordance with this Agreement and/or the Articles.</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Adherence</w:t>
      </w:r>
      <w:r>
        <w:rPr>
          <w:rFonts w:ascii="Times New Roman" w:cs="Times New Roman" w:eastAsia="Times New Roman" w:hAnsi="Times New Roman"/>
          <w:sz w:val="18"/>
          <w:szCs w:val="18"/>
          <w:color w:val="auto"/>
        </w:rPr>
        <w:t xml:space="preserve">" means a deed in the form attached as </w:t>
      </w:r>
      <w:r>
        <w:rPr>
          <w:rFonts w:ascii="Times New Roman" w:cs="Times New Roman" w:eastAsia="Times New Roman" w:hAnsi="Times New Roman"/>
          <w:sz w:val="18"/>
          <w:szCs w:val="18"/>
          <w:u w:val="single" w:color="auto"/>
          <w:color w:val="auto"/>
        </w:rPr>
        <w:t>Schedule 13</w:t>
      </w:r>
      <w:r>
        <w:rPr>
          <w:rFonts w:ascii="Times New Roman" w:cs="Times New Roman" w:eastAsia="Times New Roman" w:hAnsi="Times New Roman"/>
          <w:sz w:val="18"/>
          <w:szCs w:val="18"/>
          <w:color w:val="auto"/>
        </w:rPr>
        <w:t xml:space="preserve"> pursuant to which a transferee or allottee of Shares agrees to be bound by all the terms of this Agreement as if it had been a signatory.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Event</w:t>
      </w:r>
      <w:r>
        <w:rPr>
          <w:rFonts w:ascii="Times New Roman" w:cs="Times New Roman" w:eastAsia="Times New Roman" w:hAnsi="Times New Roman"/>
          <w:sz w:val="18"/>
          <w:szCs w:val="18"/>
          <w:color w:val="auto"/>
        </w:rPr>
        <w:t>" has the meaning set out in Clause 23.1.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Event Notice</w:t>
      </w:r>
      <w:r>
        <w:rPr>
          <w:rFonts w:ascii="Times New Roman" w:cs="Times New Roman" w:eastAsia="Times New Roman" w:hAnsi="Times New Roman"/>
          <w:sz w:val="18"/>
          <w:szCs w:val="18"/>
          <w:color w:val="auto"/>
        </w:rPr>
        <w:t>" has the meaning set out in Clause 23.2.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Shareholder</w:t>
      </w:r>
      <w:r>
        <w:rPr>
          <w:rFonts w:ascii="Times New Roman" w:cs="Times New Roman" w:eastAsia="Times New Roman" w:hAnsi="Times New Roman"/>
          <w:sz w:val="18"/>
          <w:szCs w:val="18"/>
          <w:color w:val="auto"/>
        </w:rPr>
        <w:t>" has the meaning set out in Clause 23.4.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directors of the Company and shall include any alternate Director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out in Clause 21.1.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set out in Clause 43.1.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has the meaning set out in Clause 43.1.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Drag-Along Sale</w:t>
      </w:r>
      <w:r>
        <w:rPr>
          <w:rFonts w:ascii="Times New Roman" w:cs="Times New Roman" w:eastAsia="Times New Roman" w:hAnsi="Times New Roman"/>
          <w:sz w:val="18"/>
          <w:szCs w:val="18"/>
          <w:color w:val="auto"/>
        </w:rPr>
        <w:t>" has the meaning set out in Clause 13.1.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 Completion Date</w:t>
      </w:r>
      <w:r>
        <w:rPr>
          <w:rFonts w:ascii="Times New Roman" w:cs="Times New Roman" w:eastAsia="Times New Roman" w:hAnsi="Times New Roman"/>
          <w:sz w:val="18"/>
          <w:szCs w:val="18"/>
          <w:color w:val="auto"/>
        </w:rPr>
        <w:t>" has the meaning set out in Clause 13.3.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 Notice</w:t>
      </w:r>
      <w:r>
        <w:rPr>
          <w:rFonts w:ascii="Times New Roman" w:cs="Times New Roman" w:eastAsia="Times New Roman" w:hAnsi="Times New Roman"/>
          <w:sz w:val="18"/>
          <w:szCs w:val="18"/>
          <w:color w:val="auto"/>
        </w:rPr>
        <w:t>" has the meaning set out in Clause 13.3.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Dragged Shareholders</w:t>
      </w:r>
      <w:r>
        <w:rPr>
          <w:rFonts w:ascii="Times New Roman" w:cs="Times New Roman" w:eastAsia="Times New Roman" w:hAnsi="Times New Roman"/>
          <w:sz w:val="18"/>
          <w:szCs w:val="18"/>
          <w:color w:val="auto"/>
        </w:rPr>
        <w:t>" has the meaning set out in Clause 13.1.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 has the meaning set out in Clause 13.3.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Dispute</w:t>
      </w:r>
      <w:r>
        <w:rPr>
          <w:rFonts w:ascii="Times New Roman" w:cs="Times New Roman" w:eastAsia="Times New Roman" w:hAnsi="Times New Roman"/>
          <w:sz w:val="18"/>
          <w:szCs w:val="18"/>
          <w:color w:val="auto"/>
        </w:rPr>
        <w:t>" has the meaning set out in Clause 15.2.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Period</w:t>
      </w:r>
      <w:r>
        <w:rPr>
          <w:rFonts w:ascii="Times New Roman" w:cs="Times New Roman" w:eastAsia="Times New Roman" w:hAnsi="Times New Roman"/>
          <w:sz w:val="18"/>
          <w:szCs w:val="18"/>
          <w:color w:val="auto"/>
        </w:rPr>
        <w:t>" means the period from 1 January 2022 to 31 December 2022.</w:t>
      </w:r>
    </w:p>
    <w:p>
      <w:pPr>
        <w:spacing w:after="0" w:line="233" w:lineRule="exact"/>
        <w:rPr>
          <w:sz w:val="20"/>
          <w:szCs w:val="20"/>
          <w:color w:val="auto"/>
        </w:rPr>
      </w:pPr>
    </w:p>
    <w:p>
      <w:pPr>
        <w:jc w:val="both"/>
        <w:ind w:left="4"/>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Requirement</w:t>
      </w:r>
      <w:r>
        <w:rPr>
          <w:rFonts w:ascii="Times New Roman" w:cs="Times New Roman" w:eastAsia="Times New Roman" w:hAnsi="Times New Roman"/>
          <w:sz w:val="18"/>
          <w:szCs w:val="18"/>
          <w:color w:val="auto"/>
        </w:rPr>
        <w:t>" means the targeted amount of VE Revenue during the Earn-Out Period in USD as set out in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row of the table under </w:t>
      </w:r>
      <w:r>
        <w:rPr>
          <w:rFonts w:ascii="Times New Roman" w:cs="Times New Roman" w:eastAsia="Times New Roman" w:hAnsi="Times New Roman"/>
          <w:sz w:val="18"/>
          <w:szCs w:val="18"/>
          <w:u w:val="single" w:color="auto"/>
          <w:color w:val="auto"/>
        </w:rPr>
        <w:t>Schedule 10</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has the meaning set out in Clause 15.1.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Statement</w:t>
      </w:r>
      <w:r>
        <w:rPr>
          <w:rFonts w:ascii="Times New Roman" w:cs="Times New Roman" w:eastAsia="Times New Roman" w:hAnsi="Times New Roman"/>
          <w:sz w:val="18"/>
          <w:szCs w:val="18"/>
          <w:color w:val="auto"/>
        </w:rPr>
        <w:t>" has the meaning set out in Clause 15.2.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out in Clause 2.1.</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claim, mortgage, charge, pledge, debenture, lien, restriction, assignment, power of sale, hypothecation, security interest, title retention, trust arrangement, subordination arrangement, contractual right of set-off or any other agreement or arrangement the effect of which is the creation of security, or any other interest, equity or other right of any person (including any right to acquire, option, right of first refusal or right of pre-emption), in any form and in any jurisdiction, or any agreement, arrangement or obligation (formal or informal) to create any of the same and "</w:t>
      </w:r>
      <w:r>
        <w:rPr>
          <w:rFonts w:ascii="Times New Roman" w:cs="Times New Roman" w:eastAsia="Times New Roman" w:hAnsi="Times New Roman"/>
          <w:sz w:val="18"/>
          <w:szCs w:val="18"/>
          <w:b w:val="1"/>
          <w:bCs w:val="1"/>
          <w:color w:val="auto"/>
        </w:rPr>
        <w:t>Encumber</w:t>
      </w:r>
      <w:r>
        <w:rPr>
          <w:rFonts w:ascii="Times New Roman" w:cs="Times New Roman" w:eastAsia="Times New Roman" w:hAnsi="Times New Roman"/>
          <w:sz w:val="18"/>
          <w:szCs w:val="18"/>
          <w:color w:val="auto"/>
        </w:rPr>
        <w:t>" shall be construed accordingly.</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8" w:name="page389"/>
    <w:bookmarkEnd w:id="388"/>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Ratio</w:t>
      </w:r>
      <w:r>
        <w:rPr>
          <w:rFonts w:ascii="Times New Roman" w:cs="Times New Roman" w:eastAsia="Times New Roman" w:hAnsi="Times New Roman"/>
          <w:sz w:val="18"/>
          <w:szCs w:val="18"/>
          <w:color w:val="auto"/>
        </w:rPr>
        <w:t>" means, in relation to a Shareholder, a fraction, the numerator of which is the total number of Shares held by that Shareholder at the time in question and the denominator of which is the total number of Shares in issue at that time (in each case, fully paid up but excluding any premium paid on subscription, and calculated on a fully diluted and as-converted basis), or the equivalent percentage of such fraction.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ESOP</w:t>
      </w:r>
      <w:r>
        <w:rPr>
          <w:rFonts w:ascii="Times New Roman" w:cs="Times New Roman" w:eastAsia="Times New Roman" w:hAnsi="Times New Roman"/>
          <w:sz w:val="18"/>
          <w:szCs w:val="18"/>
          <w:color w:val="auto"/>
        </w:rPr>
        <w:t>" has the meaning set out in Clause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ESOP</w:t>
      </w:r>
      <w:r>
        <w:rPr>
          <w:rFonts w:ascii="Times New Roman" w:cs="Times New Roman" w:eastAsia="Times New Roman" w:hAnsi="Times New Roman"/>
          <w:sz w:val="18"/>
          <w:szCs w:val="18"/>
          <w:color w:val="auto"/>
        </w:rPr>
        <w:t>" has the meaning set out in Clause 5.1.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fair market value of the relevant Securities being sold, on a going concern basis between a willing seller and a willing buyer as determined by an Independent Valuer.</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Shareholders</w:t>
      </w:r>
      <w:r>
        <w:rPr>
          <w:rFonts w:ascii="Times New Roman" w:cs="Times New Roman" w:eastAsia="Times New Roman" w:hAnsi="Times New Roman"/>
          <w:sz w:val="18"/>
          <w:szCs w:val="18"/>
          <w:color w:val="auto"/>
        </w:rPr>
        <w:t>" shall mean, collectively, the VE Financial Shareholders and the NIP Financial Shareholders (each, a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the financial year of the Company. Unless the Directors otherwise prescribe, the financial year of the Company shall end on 31 December in each year and, following the year of incorporation, shall begin on 1 January in each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Holdcos</w:t>
      </w:r>
      <w:r>
        <w:rPr>
          <w:rFonts w:ascii="Times New Roman" w:cs="Times New Roman" w:eastAsia="Times New Roman" w:hAnsi="Times New Roman"/>
          <w:sz w:val="18"/>
          <w:szCs w:val="18"/>
          <w:color w:val="auto"/>
        </w:rPr>
        <w:t>" shall mean, collectively, the VE Founder Holdcos and the NIP Founder Holdco (each, a "</w:t>
      </w:r>
      <w:r>
        <w:rPr>
          <w:rFonts w:ascii="Times New Roman" w:cs="Times New Roman" w:eastAsia="Times New Roman" w:hAnsi="Times New Roman"/>
          <w:sz w:val="18"/>
          <w:szCs w:val="18"/>
          <w:b w:val="1"/>
          <w:bCs w:val="1"/>
          <w:color w:val="auto"/>
        </w:rPr>
        <w:t>Founder Holdco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Parties</w:t>
      </w:r>
      <w:r>
        <w:rPr>
          <w:rFonts w:ascii="Times New Roman" w:cs="Times New Roman" w:eastAsia="Times New Roman" w:hAnsi="Times New Roman"/>
          <w:sz w:val="18"/>
          <w:szCs w:val="18"/>
          <w:color w:val="auto"/>
        </w:rPr>
        <w:t>" shall mean, collectively, the Founders and the Founder Holdcos (each, a "</w:t>
      </w:r>
      <w:r>
        <w:rPr>
          <w:rFonts w:ascii="Times New Roman" w:cs="Times New Roman" w:eastAsia="Times New Roman" w:hAnsi="Times New Roman"/>
          <w:sz w:val="18"/>
          <w:szCs w:val="18"/>
          <w:b w:val="1"/>
          <w:bCs w:val="1"/>
          <w:color w:val="auto"/>
        </w:rPr>
        <w:t>Founder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 shall mean, collectively, the VE Founders and the NIP Founders (each, a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Leaver</w:t>
      </w:r>
      <w:r>
        <w:rPr>
          <w:rFonts w:ascii="Times New Roman" w:cs="Times New Roman" w:eastAsia="Times New Roman" w:hAnsi="Times New Roman"/>
          <w:sz w:val="18"/>
          <w:szCs w:val="18"/>
          <w:color w:val="auto"/>
        </w:rPr>
        <w:t>" has the meaning given to it under Clause 18.2.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Authority</w:t>
      </w:r>
      <w:r>
        <w:rPr>
          <w:rFonts w:ascii="Times New Roman" w:cs="Times New Roman" w:eastAsia="Times New Roman" w:hAnsi="Times New Roman"/>
          <w:sz w:val="18"/>
          <w:szCs w:val="18"/>
          <w:color w:val="auto"/>
        </w:rPr>
        <w:t>" means (a) any federal, state or local government, (b) any governmental, regulatory or administrative agency, commission, body or other authority exercising or entitled to exercise any administrative, executive, judicial, legislative, police, regulatory or custodial authority or power, (c) any stock exchange, and (d) any court or governmental tribunal.</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its Subsidiaries from time to time and the expression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Hicham Chahine</w:t>
      </w:r>
      <w:r>
        <w:rPr>
          <w:rFonts w:ascii="Times New Roman" w:cs="Times New Roman" w:eastAsia="Times New Roman" w:hAnsi="Times New Roman"/>
          <w:sz w:val="18"/>
          <w:szCs w:val="18"/>
          <w:color w:val="auto"/>
        </w:rPr>
        <w:t xml:space="preserve">" shall be the person referred to in </w:t>
      </w:r>
      <w:r>
        <w:rPr>
          <w:rFonts w:ascii="Times New Roman" w:cs="Times New Roman" w:eastAsia="Times New Roman" w:hAnsi="Times New Roman"/>
          <w:sz w:val="18"/>
          <w:szCs w:val="18"/>
          <w:u w:val="single" w:color="auto"/>
          <w:color w:val="auto"/>
        </w:rPr>
        <w:t>Part B-1 of 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has the meaning set out in Clause 43.3.</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Valuer</w:t>
      </w:r>
      <w:r>
        <w:rPr>
          <w:rFonts w:ascii="Times New Roman" w:cs="Times New Roman" w:eastAsia="Times New Roman" w:hAnsi="Times New Roman"/>
          <w:sz w:val="18"/>
          <w:szCs w:val="18"/>
          <w:color w:val="auto"/>
        </w:rPr>
        <w:t>" means an independent certified public accounting firm of internationally recognized standing (acting as expert and not as an arbitrator) appointed by such Shareholder(s) holding not less than two-thirds (2/3) of the total issued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INED</w:t>
      </w:r>
      <w:r>
        <w:rPr>
          <w:rFonts w:ascii="Times New Roman" w:cs="Times New Roman" w:eastAsia="Times New Roman" w:hAnsi="Times New Roman"/>
          <w:sz w:val="18"/>
          <w:szCs w:val="18"/>
          <w:color w:val="auto"/>
        </w:rPr>
        <w:t>" has the meaning set out in Clause 6.2.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Rights Holder</w:t>
      </w:r>
      <w:r>
        <w:rPr>
          <w:rFonts w:ascii="Times New Roman" w:cs="Times New Roman" w:eastAsia="Times New Roman" w:hAnsi="Times New Roman"/>
          <w:sz w:val="18"/>
          <w:szCs w:val="18"/>
          <w:color w:val="auto"/>
        </w:rPr>
        <w:t>" has the meaning set out in Clause 22.1.</w:t>
      </w:r>
    </w:p>
    <w:p>
      <w:pPr>
        <w:spacing w:after="0" w:line="2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Subscription Date</w:t>
      </w:r>
      <w:r>
        <w:rPr>
          <w:rFonts w:ascii="Times New Roman" w:cs="Times New Roman" w:eastAsia="Times New Roman" w:hAnsi="Times New Roman"/>
          <w:sz w:val="18"/>
          <w:szCs w:val="18"/>
          <w:color w:val="auto"/>
        </w:rPr>
        <w:t>" means the date on which each VE Financial Shareholder invests into the VIE Company as set out against such VE Financial Shareholder's name in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column of such tables under </w:t>
      </w:r>
      <w:r>
        <w:rPr>
          <w:rFonts w:ascii="Times New Roman" w:cs="Times New Roman" w:eastAsia="Times New Roman" w:hAnsi="Times New Roman"/>
          <w:sz w:val="18"/>
          <w:szCs w:val="18"/>
          <w:u w:val="single" w:color="auto"/>
          <w:color w:val="auto"/>
        </w:rPr>
        <w:t>Part B of Schedule 2</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Subscription Price</w:t>
      </w:r>
      <w:r>
        <w:rPr>
          <w:rFonts w:ascii="Times New Roman" w:cs="Times New Roman" w:eastAsia="Times New Roman" w:hAnsi="Times New Roman"/>
          <w:sz w:val="18"/>
          <w:szCs w:val="18"/>
          <w:color w:val="auto"/>
        </w:rPr>
        <w:t>" means the initial subscription price of the Shares paid by each Shareholder as of the Effective Date as set out against such Shareholder's name in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column of such tables under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in respect of any person (a) the person is unable to, or states that it is unable to, pay its debts as they fall due or stops or threatens to stop paying its debts as they fall due; (b) any indebtedness of the person is subject to a moratorium; (c) a liquidator, provisional liquidator, receiver or administrator has been appointed to any property of the person or an event occurs which gives any other person a right to seek such an appointment; (d) an order has been made, a resolution has been passed or proposed in a notice of meeting or in an announcement to any recognised securities exchange, or an application to court has been made for the winding-up or dissolution of the person or for the entry into of any arrangement, compromise or composition with, or assignment for the benefit of, creditors of the person or any class of them; (e) a trustee has been appointed to take control of the property of the person in connection with a proposal to enter into a personal insolvency agreement; (f) an order has been made or an application to court has been made for bankruptcy of the person or an event occurs which gives any other person a right to seek such an order or make such an application; (g) a security interest becomes enforceable or is enforced over, or a writ of execution, garnishee order, blocking or freezing (in whole or in part) injunction or similar order has been issued over or is affecting, all or a substantial part of the assets of the person; or (h) the person has otherwise become, or is otherwise taken to be, insolvent in any jurisdiction or an event occurs in any jurisdiction in relation to the person which is analogous to, or which has a substantially similar effect to, any of the events referred to in paragraphs (a) to (g) above.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rights in and in relation to Confidential Information, trade marks, service marks, trade and business names, logos, slogans, trade dress and get up (including any goodwill associated with or attached to any of them), domain names, patents, inventions (whether or not patentable), registered designs, plant variety rights, design rights, copyrights (including rights in software), performer's rights, moral rights, database rights, semi-conductor topography rights or rights in layout-design (topography) of integrated circuits, utility models and all rights or forms of protection having an equivalent or similar nature or effect anywhere in the world, whether enforceable, registered, unregistered or registrable (including, where applicable, all renewals, extensions and applications for registration) and the right to sue for damages for past and current infringement (including passing off and unfair competition) in respect of any of them.</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0" w:name="page391"/>
    <w:bookmarkEnd w:id="390"/>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initial public offering or direct listing of the Company's Shares or any shares or securities issued by any direct or indirect parent of the Company; or</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acquisition of the business of the Group with or by a publicly listed special purpose acquisition company (SPAC) such that the business of the Group is owned by a company with listed securities, or reverse takeover or backdoor listing.</w:t>
      </w:r>
    </w:p>
    <w:p>
      <w:pPr>
        <w:spacing w:after="0" w:line="158"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Effective Time</w:t>
      </w:r>
      <w:r>
        <w:rPr>
          <w:rFonts w:ascii="Times New Roman" w:cs="Times New Roman" w:eastAsia="Times New Roman" w:hAnsi="Times New Roman"/>
          <w:sz w:val="18"/>
          <w:szCs w:val="18"/>
          <w:color w:val="auto"/>
        </w:rPr>
        <w:t>" means the time at which the Board (or the board of directors of any direct or indirect parent of the Company which is the subject of the IPO) resolves to issue or transfer Securities pursuant to a Qualified IPO, or such other time and date determined by the board of such entity;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Notice</w:t>
      </w:r>
      <w:r>
        <w:rPr>
          <w:rFonts w:ascii="Times New Roman" w:cs="Times New Roman" w:eastAsia="Times New Roman" w:hAnsi="Times New Roman"/>
          <w:sz w:val="18"/>
          <w:szCs w:val="18"/>
          <w:color w:val="auto"/>
        </w:rPr>
        <w:t>" has the meaning set out in Clause 10.4.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Accepting Shareholder</w:t>
      </w:r>
      <w:r>
        <w:rPr>
          <w:rFonts w:ascii="Times New Roman" w:cs="Times New Roman" w:eastAsia="Times New Roman" w:hAnsi="Times New Roman"/>
          <w:sz w:val="18"/>
          <w:szCs w:val="18"/>
          <w:color w:val="auto"/>
        </w:rPr>
        <w:t>" has the meaning set out in Clause 12.3.</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means Intellectual Property duly licensed from third parties to the Group, but shall not include any Intellectual Property formally licensed from any Licensor or Shareholder.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has the meaning set out in Clause 20.7(a).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has the meaning set out in Clause 17.1.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has the meaning set out in Clause 17.1.</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a period commencing from the Effective Date until (i) consummation of the Qualified IPO or (ii) the expiration of two (2) years after the Effective Date, whichever is earlier.</w:t>
      </w:r>
    </w:p>
    <w:p>
      <w:pPr>
        <w:spacing w:after="0" w:line="15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includes, in respect of or relating to any matter, event or circumstance, all demands, claims (including compensation claims), actions, proceedings, awards, judgments, settlements, damages, payments, interest, fines, penalties, losses, costs (including legal costs, professional advisers', experts' and consultants' fees and costs of investigation, defence, appeal, enforcement and remediation), expenses (including Tax), disbursements or other liabilities in any case of any nature whatsoever, but shall exclude any indirect, contingent, prospective, special, incidental or consequential loss such as but not limited to loss of profit, goodwill, reputation or loss of opportunity.</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Unit Price</w:t>
      </w:r>
      <w:r>
        <w:rPr>
          <w:rFonts w:ascii="Times New Roman" w:cs="Times New Roman" w:eastAsia="Times New Roman" w:hAnsi="Times New Roman"/>
          <w:sz w:val="18"/>
          <w:szCs w:val="18"/>
          <w:color w:val="auto"/>
        </w:rPr>
        <w:t>" has the meaning set out in Clause 10.14.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Mario Ho</w:t>
      </w:r>
      <w:r>
        <w:rPr>
          <w:rFonts w:ascii="Times New Roman" w:cs="Times New Roman" w:eastAsia="Times New Roman" w:hAnsi="Times New Roman"/>
          <w:sz w:val="18"/>
          <w:szCs w:val="18"/>
          <w:color w:val="auto"/>
        </w:rPr>
        <w:t xml:space="preserve">" shall be the person referred to under </w:t>
      </w:r>
      <w:r>
        <w:rPr>
          <w:rFonts w:ascii="Times New Roman" w:cs="Times New Roman" w:eastAsia="Times New Roman" w:hAnsi="Times New Roman"/>
          <w:sz w:val="18"/>
          <w:szCs w:val="18"/>
          <w:u w:val="single" w:color="auto"/>
          <w:color w:val="auto"/>
        </w:rPr>
        <w:t>Part A-1 of 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has the meaning set out in Clause 23.1.</w:t>
      </w:r>
    </w:p>
    <w:p>
      <w:pPr>
        <w:spacing w:after="0" w:line="22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Actions</w:t>
      </w:r>
      <w:r>
        <w:rPr>
          <w:rFonts w:ascii="Times New Roman" w:cs="Times New Roman" w:eastAsia="Times New Roman" w:hAnsi="Times New Roman"/>
          <w:sz w:val="18"/>
          <w:szCs w:val="18"/>
          <w:color w:val="auto"/>
        </w:rPr>
        <w:t>" means, with respect to a specified result, all actions (to the extent such actions are permitted by Applicable Laws) reasonably necessary or desirable to cause such result, including: (a) voting or providing a written consent or proxy with respect to shares; (b) causing the adoption of shareholders' resolutions and amendments to organisational documents; (c) executing agreements and instruments, and (d) using commercially reasonable efforts to obtain all consents, or similar actions that are required to achieve such result.</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Business Opportunity</w:t>
      </w:r>
      <w:r>
        <w:rPr>
          <w:rFonts w:ascii="Times New Roman" w:cs="Times New Roman" w:eastAsia="Times New Roman" w:hAnsi="Times New Roman"/>
          <w:sz w:val="18"/>
          <w:szCs w:val="18"/>
          <w:color w:val="auto"/>
        </w:rPr>
        <w:t>" has the meaning given to it under Clause 18.4.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ESOP</w:t>
      </w:r>
      <w:r>
        <w:rPr>
          <w:rFonts w:ascii="Times New Roman" w:cs="Times New Roman" w:eastAsia="Times New Roman" w:hAnsi="Times New Roman"/>
          <w:sz w:val="18"/>
          <w:szCs w:val="18"/>
          <w:color w:val="auto"/>
        </w:rPr>
        <w:t>" has the meaning set out in Clause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has the meaning set out in Clause 10.3.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Competitors</w:t>
      </w:r>
      <w:r>
        <w:rPr>
          <w:rFonts w:ascii="Times New Roman" w:cs="Times New Roman" w:eastAsia="Times New Roman" w:hAnsi="Times New Roman"/>
          <w:sz w:val="18"/>
          <w:szCs w:val="18"/>
          <w:color w:val="auto"/>
        </w:rPr>
        <w:t>" means any such persons the principal business of which involves components or activities which compete with the business of any of the NIP Group Companies in any country or jurisdiction where any NIP Group Company carries on its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De-Merger</w:t>
      </w:r>
      <w:r>
        <w:rPr>
          <w:rFonts w:ascii="Times New Roman" w:cs="Times New Roman" w:eastAsia="Times New Roman" w:hAnsi="Times New Roman"/>
          <w:sz w:val="18"/>
          <w:szCs w:val="18"/>
          <w:color w:val="auto"/>
        </w:rPr>
        <w:t>" means either the NIP Share Distribution or the NIP Share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Directors</w:t>
      </w:r>
      <w:r>
        <w:rPr>
          <w:rFonts w:ascii="Times New Roman" w:cs="Times New Roman" w:eastAsia="Times New Roman" w:hAnsi="Times New Roman"/>
          <w:sz w:val="18"/>
          <w:szCs w:val="18"/>
          <w:color w:val="auto"/>
        </w:rPr>
        <w:t>" has the meaning set out in Clause 6.4.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Dividend Distribution</w:t>
      </w:r>
      <w:r>
        <w:rPr>
          <w:rFonts w:ascii="Times New Roman" w:cs="Times New Roman" w:eastAsia="Times New Roman" w:hAnsi="Times New Roman"/>
          <w:sz w:val="18"/>
          <w:szCs w:val="18"/>
          <w:color w:val="auto"/>
        </w:rPr>
        <w:t>" has the meaning set out in Clause 16.12.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w:t>
      </w:r>
      <w:r>
        <w:rPr>
          <w:rFonts w:ascii="Times New Roman" w:cs="Times New Roman" w:eastAsia="Times New Roman" w:hAnsi="Times New Roman"/>
          <w:sz w:val="18"/>
          <w:szCs w:val="18"/>
          <w:color w:val="auto"/>
        </w:rPr>
        <w:t>" has the meaning set out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 Holdco</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Part B-2 of 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Founder Parties</w:t>
      </w:r>
      <w:r>
        <w:rPr>
          <w:rFonts w:ascii="Times New Roman" w:cs="Times New Roman" w:eastAsia="Times New Roman" w:hAnsi="Times New Roman"/>
          <w:sz w:val="18"/>
          <w:szCs w:val="18"/>
          <w:color w:val="auto"/>
        </w:rPr>
        <w:t>" means, collectively, the NIP Founders and the NIP Founder Holdcos.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Group Companies</w:t>
      </w:r>
      <w:r>
        <w:rPr>
          <w:rFonts w:ascii="Times New Roman" w:cs="Times New Roman" w:eastAsia="Times New Roman" w:hAnsi="Times New Roman"/>
          <w:sz w:val="18"/>
          <w:szCs w:val="18"/>
          <w:color w:val="auto"/>
        </w:rPr>
        <w:t xml:space="preserve">" means such persons listed in </w:t>
      </w:r>
      <w:r>
        <w:rPr>
          <w:rFonts w:ascii="Times New Roman" w:cs="Times New Roman" w:eastAsia="Times New Roman" w:hAnsi="Times New Roman"/>
          <w:sz w:val="18"/>
          <w:szCs w:val="18"/>
          <w:u w:val="single" w:color="auto"/>
          <w:color w:val="auto"/>
        </w:rPr>
        <w:t>Part B of Schedule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Date</w:t>
      </w:r>
      <w:r>
        <w:rPr>
          <w:rFonts w:ascii="Times New Roman" w:cs="Times New Roman" w:eastAsia="Times New Roman" w:hAnsi="Times New Roman"/>
          <w:sz w:val="18"/>
          <w:szCs w:val="18"/>
          <w:color w:val="auto"/>
        </w:rPr>
        <w:t>" has the meaning set out in Clause 16.9.</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Dividend</w:t>
      </w:r>
      <w:r>
        <w:rPr>
          <w:rFonts w:ascii="Times New Roman" w:cs="Times New Roman" w:eastAsia="Times New Roman" w:hAnsi="Times New Roman"/>
          <w:sz w:val="18"/>
          <w:szCs w:val="18"/>
          <w:color w:val="auto"/>
        </w:rPr>
        <w:t>" means such portion of the Company's distributable profits which is equivalent to the total amount of declared but unpaid dividend (whether interim or final) that the NIP Redemption Shareholders would have been entitled to receive based on its Equity Ratio in the event of a distribution pursuant to Clause 16.12 as at the date of occurrence of a NIP Redemption Trigger Event.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Price</w:t>
      </w:r>
      <w:r>
        <w:rPr>
          <w:rFonts w:ascii="Times New Roman" w:cs="Times New Roman" w:eastAsia="Times New Roman" w:hAnsi="Times New Roman"/>
          <w:sz w:val="18"/>
          <w:szCs w:val="18"/>
          <w:color w:val="auto"/>
        </w:rPr>
        <w:t>" has the meaning set out in Clause 16.8.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Redemption Trigger Events</w:t>
      </w:r>
      <w:r>
        <w:rPr>
          <w:rFonts w:ascii="Times New Roman" w:cs="Times New Roman" w:eastAsia="Times New Roman" w:hAnsi="Times New Roman"/>
          <w:sz w:val="18"/>
          <w:szCs w:val="18"/>
          <w:color w:val="auto"/>
        </w:rPr>
        <w:t xml:space="preserve">" means the events or circumstances as set out in Part B of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 Distribution</w:t>
      </w:r>
      <w:r>
        <w:rPr>
          <w:rFonts w:ascii="Times New Roman" w:cs="Times New Roman" w:eastAsia="Times New Roman" w:hAnsi="Times New Roman"/>
          <w:sz w:val="18"/>
          <w:szCs w:val="18"/>
          <w:color w:val="auto"/>
        </w:rPr>
        <w:t>" has the meaning set out in Clause 16.9.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 Transfer</w:t>
      </w:r>
      <w:r>
        <w:rPr>
          <w:rFonts w:ascii="Times New Roman" w:cs="Times New Roman" w:eastAsia="Times New Roman" w:hAnsi="Times New Roman"/>
          <w:sz w:val="18"/>
          <w:szCs w:val="18"/>
          <w:color w:val="auto"/>
        </w:rPr>
        <w:t>" has the meaning set out in Clause 16.10.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Shareholders</w:t>
      </w:r>
      <w:r>
        <w:rPr>
          <w:rFonts w:ascii="Times New Roman" w:cs="Times New Roman" w:eastAsia="Times New Roman" w:hAnsi="Times New Roman"/>
          <w:sz w:val="18"/>
          <w:szCs w:val="18"/>
          <w:color w:val="auto"/>
        </w:rPr>
        <w:t>" has the meaning set out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Shares</w:t>
      </w:r>
      <w:r>
        <w:rPr>
          <w:rFonts w:ascii="Times New Roman" w:cs="Times New Roman" w:eastAsia="Times New Roman" w:hAnsi="Times New Roman"/>
          <w:sz w:val="18"/>
          <w:szCs w:val="18"/>
          <w:color w:val="auto"/>
        </w:rPr>
        <w:t>" means Shares held by all NIP Shareholders in aggregate at any given time (each, a "</w:t>
      </w:r>
      <w:r>
        <w:rPr>
          <w:rFonts w:ascii="Times New Roman" w:cs="Times New Roman" w:eastAsia="Times New Roman" w:hAnsi="Times New Roman"/>
          <w:sz w:val="18"/>
          <w:szCs w:val="18"/>
          <w:b w:val="1"/>
          <w:bCs w:val="1"/>
          <w:color w:val="auto"/>
        </w:rPr>
        <w:t>NIP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Notification Period</w:t>
      </w:r>
      <w:r>
        <w:rPr>
          <w:rFonts w:ascii="Times New Roman" w:cs="Times New Roman" w:eastAsia="Times New Roman" w:hAnsi="Times New Roman"/>
          <w:sz w:val="18"/>
          <w:szCs w:val="18"/>
          <w:color w:val="auto"/>
        </w:rPr>
        <w:t>" has the meaning set out in Clause 15.2.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NIP Special Redemption Trigger Events</w:t>
      </w:r>
      <w:r>
        <w:rPr>
          <w:rFonts w:ascii="Times New Roman" w:cs="Times New Roman" w:eastAsia="Times New Roman" w:hAnsi="Times New Roman"/>
          <w:sz w:val="18"/>
          <w:szCs w:val="18"/>
          <w:color w:val="auto"/>
        </w:rPr>
        <w:t xml:space="preserve">" means the events or circumstances as set out in Part C of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has the meaning set out in Clause 12.1.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Opportunity Acceptance Period</w:t>
      </w:r>
      <w:r>
        <w:rPr>
          <w:rFonts w:ascii="Times New Roman" w:cs="Times New Roman" w:eastAsia="Times New Roman" w:hAnsi="Times New Roman"/>
          <w:sz w:val="18"/>
          <w:szCs w:val="18"/>
          <w:color w:val="auto"/>
        </w:rPr>
        <w:t>" has the meaning given to it under Clause 18.4.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Opportunity Period</w:t>
      </w:r>
      <w:r>
        <w:rPr>
          <w:rFonts w:ascii="Times New Roman" w:cs="Times New Roman" w:eastAsia="Times New Roman" w:hAnsi="Times New Roman"/>
          <w:sz w:val="18"/>
          <w:szCs w:val="18"/>
          <w:color w:val="auto"/>
        </w:rPr>
        <w:t>" has the meaning given to it under Clause 18.4.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Board Matters</w:t>
      </w:r>
      <w:r>
        <w:rPr>
          <w:rFonts w:ascii="Times New Roman" w:cs="Times New Roman" w:eastAsia="Times New Roman" w:hAnsi="Times New Roman"/>
          <w:sz w:val="18"/>
          <w:szCs w:val="18"/>
          <w:color w:val="auto"/>
        </w:rPr>
        <w:t xml:space="preserve">" means such matters set out in </w:t>
      </w:r>
      <w:r>
        <w:rPr>
          <w:rFonts w:ascii="Times New Roman" w:cs="Times New Roman" w:eastAsia="Times New Roman" w:hAnsi="Times New Roman"/>
          <w:sz w:val="18"/>
          <w:szCs w:val="18"/>
          <w:u w:val="single" w:color="auto"/>
          <w:color w:val="auto"/>
        </w:rPr>
        <w:t>Part A-2 of 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Shareholder</w:t>
      </w:r>
      <w:r>
        <w:rPr>
          <w:rFonts w:ascii="Times New Roman" w:cs="Times New Roman" w:eastAsia="Times New Roman" w:hAnsi="Times New Roman"/>
          <w:sz w:val="18"/>
          <w:szCs w:val="18"/>
          <w:color w:val="auto"/>
        </w:rPr>
        <w:t xml:space="preserve">" shall mean a holder of any number of Ordinary Shares. The list of Ordinary Shareholders as at the Effective Date is set out in </w:t>
      </w:r>
      <w:r>
        <w:rPr>
          <w:rFonts w:ascii="Times New Roman" w:cs="Times New Roman" w:eastAsia="Times New Roman" w:hAnsi="Times New Roman"/>
          <w:sz w:val="18"/>
          <w:szCs w:val="18"/>
          <w:u w:val="single" w:color="auto"/>
          <w:color w:val="auto"/>
        </w:rPr>
        <w:t>Part A of Schedule 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has the meaning set out in the Articles, attached with such rights as prescribed under this Agreement and the Articles.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Originating Founder</w:t>
      </w:r>
      <w:r>
        <w:rPr>
          <w:rFonts w:ascii="Times New Roman" w:cs="Times New Roman" w:eastAsia="Times New Roman" w:hAnsi="Times New Roman"/>
          <w:sz w:val="18"/>
          <w:szCs w:val="18"/>
          <w:color w:val="auto"/>
        </w:rPr>
        <w:t>" has the meaning given to it under Clause 18.4.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Oversubscription Shareholder</w:t>
      </w:r>
      <w:r>
        <w:rPr>
          <w:rFonts w:ascii="Times New Roman" w:cs="Times New Roman" w:eastAsia="Times New Roman" w:hAnsi="Times New Roman"/>
          <w:sz w:val="18"/>
          <w:szCs w:val="18"/>
          <w:color w:val="auto"/>
        </w:rPr>
        <w:t>" has the meaning set out in Clause 10.6.</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parties to this Agreement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 including any other person who becomes a member of the Company and who agrees to be bound by the provisions of this Agreement by executing a Deed of Adherence.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has the meaning set out in Clause 11.7.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Post-Earn-Out NIP Equity Ratio</w:t>
      </w:r>
      <w:r>
        <w:rPr>
          <w:rFonts w:ascii="Times New Roman" w:cs="Times New Roman" w:eastAsia="Times New Roman" w:hAnsi="Times New Roman"/>
          <w:sz w:val="18"/>
          <w:szCs w:val="18"/>
          <w:color w:val="auto"/>
        </w:rPr>
        <w:t xml:space="preserve">" means the equity ratio as set out in row 6 of the table under </w:t>
      </w:r>
      <w:r>
        <w:rPr>
          <w:rFonts w:ascii="Times New Roman" w:cs="Times New Roman" w:eastAsia="Times New Roman" w:hAnsi="Times New Roman"/>
          <w:sz w:val="18"/>
          <w:szCs w:val="18"/>
          <w:u w:val="single" w:color="auto"/>
          <w:color w:val="auto"/>
        </w:rPr>
        <w:t>Schedule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Post-Earn-Out VE Equity Ratio</w:t>
      </w:r>
      <w:r>
        <w:rPr>
          <w:rFonts w:ascii="Times New Roman" w:cs="Times New Roman" w:eastAsia="Times New Roman" w:hAnsi="Times New Roman"/>
          <w:sz w:val="18"/>
          <w:szCs w:val="18"/>
          <w:color w:val="auto"/>
        </w:rPr>
        <w:t xml:space="preserve">" means the equity ratio as set out in row 5 of the table under </w:t>
      </w:r>
      <w:r>
        <w:rPr>
          <w:rFonts w:ascii="Times New Roman" w:cs="Times New Roman" w:eastAsia="Times New Roman" w:hAnsi="Times New Roman"/>
          <w:sz w:val="18"/>
          <w:szCs w:val="18"/>
          <w:u w:val="single" w:color="auto"/>
          <w:color w:val="auto"/>
        </w:rPr>
        <w:t>Schedule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but excluding, for the purposes of this Agreement, Hong Kong, Macau and Taiwan.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GAAP</w:t>
      </w:r>
      <w:r>
        <w:rPr>
          <w:rFonts w:ascii="Times New Roman" w:cs="Times New Roman" w:eastAsia="Times New Roman" w:hAnsi="Times New Roman"/>
          <w:sz w:val="18"/>
          <w:szCs w:val="18"/>
          <w:color w:val="auto"/>
        </w:rPr>
        <w:t>" means generally accepted accounting principles in the PRC, applied on a consistent basis.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Tax Laws</w:t>
      </w:r>
      <w:r>
        <w:rPr>
          <w:rFonts w:ascii="Times New Roman" w:cs="Times New Roman" w:eastAsia="Times New Roman" w:hAnsi="Times New Roman"/>
          <w:sz w:val="18"/>
          <w:szCs w:val="18"/>
          <w:color w:val="auto"/>
        </w:rPr>
        <w:t>" means the Tax notice issued by the PRC State Administration of Taxation titled the "State Administration of Taxation's Bulletin on Several Issues of Enterprise Income Tax on Income Arising from Indirect Transfers of Property by Non-resident Enterprises" (State Administration of Taxation Bulletin [2015] No. 7), as may be amended or supplemented from time to time, including any similar or replacement law, including any other applicable PRC taxation laws, as well as any Applicable Laws of the PRC in force from time to time which operates to restate, amend or repeal any of the aforesaid laws or any part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Liquidation Amount</w:t>
      </w:r>
      <w:r>
        <w:rPr>
          <w:rFonts w:ascii="Times New Roman" w:cs="Times New Roman" w:eastAsia="Times New Roman" w:hAnsi="Times New Roman"/>
          <w:sz w:val="18"/>
          <w:szCs w:val="18"/>
          <w:color w:val="auto"/>
        </w:rPr>
        <w:t>" has the meaning set out in Clause 17.1.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Shareholders</w:t>
      </w:r>
      <w:r>
        <w:rPr>
          <w:rFonts w:ascii="Times New Roman" w:cs="Times New Roman" w:eastAsia="Times New Roman" w:hAnsi="Times New Roman"/>
          <w:sz w:val="18"/>
          <w:szCs w:val="18"/>
          <w:color w:val="auto"/>
        </w:rPr>
        <w:t>" means, collectively, all holders of Preferred Shares (each, a "</w:t>
      </w:r>
      <w:r>
        <w:rPr>
          <w:rFonts w:ascii="Times New Roman" w:cs="Times New Roman" w:eastAsia="Times New Roman" w:hAnsi="Times New Roman"/>
          <w:sz w:val="18"/>
          <w:szCs w:val="18"/>
          <w:b w:val="1"/>
          <w:bCs w:val="1"/>
          <w:color w:val="auto"/>
        </w:rPr>
        <w:t>Preferred Shareholder</w:t>
      </w:r>
      <w:r>
        <w:rPr>
          <w:rFonts w:ascii="Times New Roman" w:cs="Times New Roman" w:eastAsia="Times New Roman" w:hAnsi="Times New Roman"/>
          <w:sz w:val="18"/>
          <w:szCs w:val="18"/>
          <w:color w:val="auto"/>
        </w:rPr>
        <w:t xml:space="preserve">"). The list of Preferred Shareholders as at the Effective Date is set out in </w:t>
      </w:r>
      <w:r>
        <w:rPr>
          <w:rFonts w:ascii="Times New Roman" w:cs="Times New Roman" w:eastAsia="Times New Roman" w:hAnsi="Times New Roman"/>
          <w:sz w:val="18"/>
          <w:szCs w:val="18"/>
          <w:u w:val="single" w:color="auto"/>
          <w:color w:val="auto"/>
        </w:rPr>
        <w:t>Part B, Part C and Part D of Schedule 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means, collectively, the Class A Preferred Shares, the Class B Preferred Shares and the Class B-1 Preferred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any legislation or other regulatory instrument, whether in Hong Kong or otherwise, which affects privacy or personal information (including the collection, storage, use or possession of personal data), and includes any legislation from time to time in force in such jurisdictions to the extent that applicable to the Group Company, relating to privacy, personal information or the collection, handling, storage, processing, use or disclosure of personal data, and any ancillary rules, guidelines, orders, directions, directives, codes of conduct or other instruments made or issued thereunder, as amended from time to time, including but not limited to the European Union General Data Protection Regulation (commonly referred to as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Pro-Rata Share</w:t>
      </w:r>
      <w:r>
        <w:rPr>
          <w:rFonts w:ascii="Times New Roman" w:cs="Times New Roman" w:eastAsia="Times New Roman" w:hAnsi="Times New Roman"/>
          <w:sz w:val="18"/>
          <w:szCs w:val="18"/>
          <w:color w:val="auto"/>
        </w:rPr>
        <w:t>" has the meaning set out in Clause 10.4(c).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Buyer</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Prospective Parties</w:t>
      </w:r>
      <w:r>
        <w:rPr>
          <w:rFonts w:ascii="Times New Roman" w:cs="Times New Roman" w:eastAsia="Times New Roman" w:hAnsi="Times New Roman"/>
          <w:sz w:val="18"/>
          <w:szCs w:val="18"/>
          <w:color w:val="auto"/>
        </w:rPr>
        <w:t>" has the meaning given to it under Clause 18.4.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Exchange</w:t>
      </w:r>
      <w:r>
        <w:rPr>
          <w:rFonts w:ascii="Times New Roman" w:cs="Times New Roman" w:eastAsia="Times New Roman" w:hAnsi="Times New Roman"/>
          <w:sz w:val="18"/>
          <w:szCs w:val="18"/>
          <w:color w:val="auto"/>
        </w:rPr>
        <w:t>" means (i) the New York Stock Exchange, the NASDAQ Stock Market's Global Market System or the Hong Kong Stock Exchange or (ii) any other exchange of recognized international reputation and standing duly approved by the Shareholders as Reserved Matter in accordance with the Requisite Approval.</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IPO</w:t>
      </w:r>
      <w:r>
        <w:rPr>
          <w:rFonts w:ascii="Times New Roman" w:cs="Times New Roman" w:eastAsia="Times New Roman" w:hAnsi="Times New Roman"/>
          <w:sz w:val="18"/>
          <w:szCs w:val="18"/>
          <w:color w:val="auto"/>
        </w:rPr>
        <w:t>" means an IPO on a Qualified Exchange on or before 31 January 2025. For the avoidance of doubt, only with respect to the NIP Redemption Trigger Events, Qualified IPO shall mean an IPO on a Qualified Exchange based on a pre-money valuation of the Company exceeding US$100,000,000;</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Third Party</w:t>
      </w:r>
      <w:r>
        <w:rPr>
          <w:rFonts w:ascii="Times New Roman" w:cs="Times New Roman" w:eastAsia="Times New Roman" w:hAnsi="Times New Roman"/>
          <w:sz w:val="18"/>
          <w:szCs w:val="18"/>
          <w:color w:val="auto"/>
        </w:rPr>
        <w:t>" mean a bona fide independent third party, who is not: (i) a Sanctioned Person and has not violated nor is in violation of any Anti-Money Laundering Laws; (ii) a Permitted Transferee; or (iii) a Competitor (unless otherwise approved pursuant to Clause 11.5) and "</w:t>
      </w:r>
      <w:r>
        <w:rPr>
          <w:rFonts w:ascii="Times New Roman" w:cs="Times New Roman" w:eastAsia="Times New Roman" w:hAnsi="Times New Roman"/>
          <w:sz w:val="18"/>
          <w:szCs w:val="18"/>
          <w:b w:val="1"/>
          <w:bCs w:val="1"/>
          <w:color w:val="auto"/>
        </w:rPr>
        <w:t>Qualified Third Parties</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out in Clause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has the meaning set out in Clause 21.3.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has the meaning set out in Clause 16.3.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Obligations</w:t>
      </w:r>
      <w:r>
        <w:rPr>
          <w:rFonts w:ascii="Times New Roman" w:cs="Times New Roman" w:eastAsia="Times New Roman" w:hAnsi="Times New Roman"/>
          <w:sz w:val="18"/>
          <w:szCs w:val="18"/>
          <w:color w:val="auto"/>
        </w:rPr>
        <w:t>" has the meaning set out in Clause 16.15.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has the meaning set out in Clause 16.2.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Shareholders</w:t>
      </w:r>
      <w:r>
        <w:rPr>
          <w:rFonts w:ascii="Times New Roman" w:cs="Times New Roman" w:eastAsia="Times New Roman" w:hAnsi="Times New Roman"/>
          <w:sz w:val="18"/>
          <w:szCs w:val="18"/>
          <w:color w:val="auto"/>
        </w:rPr>
        <w:t>" has the meaning set out in Clause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Shares</w:t>
      </w:r>
      <w:r>
        <w:rPr>
          <w:rFonts w:ascii="Times New Roman" w:cs="Times New Roman" w:eastAsia="Times New Roman" w:hAnsi="Times New Roman"/>
          <w:sz w:val="18"/>
          <w:szCs w:val="18"/>
          <w:color w:val="auto"/>
        </w:rPr>
        <w:t>" has the meaning set out in Clause 16.1.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Trigger Events</w:t>
      </w:r>
      <w:r>
        <w:rPr>
          <w:rFonts w:ascii="Times New Roman" w:cs="Times New Roman" w:eastAsia="Times New Roman" w:hAnsi="Times New Roman"/>
          <w:sz w:val="18"/>
          <w:szCs w:val="18"/>
          <w:color w:val="auto"/>
        </w:rPr>
        <w:t>" means any of the VE Redemption Trigger Events, the NIP Redemption Trigger Events and the NIP Special Redemption Trigger Events (each, a "</w:t>
      </w:r>
      <w:r>
        <w:rPr>
          <w:rFonts w:ascii="Times New Roman" w:cs="Times New Roman" w:eastAsia="Times New Roman" w:hAnsi="Times New Roman"/>
          <w:sz w:val="18"/>
          <w:szCs w:val="18"/>
          <w:b w:val="1"/>
          <w:bCs w:val="1"/>
          <w:color w:val="auto"/>
        </w:rPr>
        <w:t>Redemption Trigger Event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New Securities</w:t>
      </w:r>
      <w:r>
        <w:rPr>
          <w:rFonts w:ascii="Times New Roman" w:cs="Times New Roman" w:eastAsia="Times New Roman" w:hAnsi="Times New Roman"/>
          <w:sz w:val="18"/>
          <w:szCs w:val="18"/>
          <w:color w:val="auto"/>
        </w:rPr>
        <w:t>" has the meaning set out in Clause 10.6.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Offered Securities</w:t>
      </w:r>
      <w:r>
        <w:rPr>
          <w:rFonts w:ascii="Times New Roman" w:cs="Times New Roman" w:eastAsia="Times New Roman" w:hAnsi="Times New Roman"/>
          <w:sz w:val="18"/>
          <w:szCs w:val="18"/>
          <w:color w:val="auto"/>
        </w:rPr>
        <w:t>" has the meaning set out in Clause 12.4.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Approvals</w:t>
      </w:r>
      <w:r>
        <w:rPr>
          <w:rFonts w:ascii="Times New Roman" w:cs="Times New Roman" w:eastAsia="Times New Roman" w:hAnsi="Times New Roman"/>
          <w:sz w:val="18"/>
          <w:szCs w:val="18"/>
          <w:color w:val="auto"/>
        </w:rPr>
        <w:t>" means such approval(s) by the Board and/or the Shareholders as required with respect to a Reserved Matter pursuant to Clauses 6.16, 6.17, 7.4 and 7.5 (as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Board Matters</w:t>
      </w:r>
      <w:r>
        <w:rPr>
          <w:rFonts w:ascii="Times New Roman" w:cs="Times New Roman" w:eastAsia="Times New Roman" w:hAnsi="Times New Roman"/>
          <w:sz w:val="18"/>
          <w:szCs w:val="18"/>
          <w:color w:val="auto"/>
        </w:rPr>
        <w:t xml:space="preserve">" means such matters set out in </w:t>
      </w:r>
      <w:r>
        <w:rPr>
          <w:rFonts w:ascii="Times New Roman" w:cs="Times New Roman" w:eastAsia="Times New Roman" w:hAnsi="Times New Roman"/>
          <w:sz w:val="18"/>
          <w:szCs w:val="18"/>
          <w:u w:val="single" w:color="auto"/>
          <w:color w:val="auto"/>
        </w:rPr>
        <w:t>Part A-1 of Schedule 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4" w:name="page395"/>
    <w:bookmarkEnd w:id="394"/>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Matters</w:t>
      </w:r>
      <w:r>
        <w:rPr>
          <w:rFonts w:ascii="Times New Roman" w:cs="Times New Roman" w:eastAsia="Times New Roman" w:hAnsi="Times New Roman"/>
          <w:sz w:val="18"/>
          <w:szCs w:val="18"/>
          <w:color w:val="auto"/>
        </w:rPr>
        <w:t>" means the Ordinary Board Matters, the Reserved Board Matters, the Shareholders Ordinary Matters and the Shareholders Reserved Matters, collectively (each, a "</w:t>
      </w:r>
      <w:r>
        <w:rPr>
          <w:rFonts w:ascii="Times New Roman" w:cs="Times New Roman" w:eastAsia="Times New Roman" w:hAnsi="Times New Roman"/>
          <w:sz w:val="18"/>
          <w:szCs w:val="18"/>
          <w:b w:val="1"/>
          <w:bCs w:val="1"/>
          <w:color w:val="auto"/>
        </w:rPr>
        <w:t>Reserved Matter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has the meaning given to it under Clause 18.2.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 Plan</w:t>
      </w:r>
      <w:r>
        <w:rPr>
          <w:rFonts w:ascii="Times New Roman" w:cs="Times New Roman" w:eastAsia="Times New Roman" w:hAnsi="Times New Roman"/>
          <w:sz w:val="18"/>
          <w:szCs w:val="18"/>
          <w:color w:val="auto"/>
        </w:rPr>
        <w:t>" has the meaning set out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Tag-Along Option</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Tag-Along Securities</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ROFR Tag-Along Shareholder</w:t>
      </w:r>
      <w:r>
        <w:rPr>
          <w:rFonts w:ascii="Times New Roman" w:cs="Times New Roman" w:eastAsia="Times New Roman" w:hAnsi="Times New Roman"/>
          <w:sz w:val="18"/>
          <w:szCs w:val="18"/>
          <w:color w:val="auto"/>
        </w:rPr>
        <w:t>" has the meaning set out in Clause 12.5.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Agreement</w:t>
      </w:r>
      <w:r>
        <w:rPr>
          <w:rFonts w:ascii="Times New Roman" w:cs="Times New Roman" w:eastAsia="Times New Roman" w:hAnsi="Times New Roman"/>
          <w:sz w:val="18"/>
          <w:szCs w:val="18"/>
          <w:color w:val="auto"/>
        </w:rPr>
        <w:t>" has the meaning set out in Clause 13.2.</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(a) that is currently subject to or the target of Sanctions; (b) that is appearing on the Specially Designated Nationals and Blocked Persons List of the US Government's Office of Foreign Assets Control; (c) with whom a transaction is prohibited by Executive Order 13224, the USA Patriot Act, the Trading with the Enemy Act, or the foreign asset control regulations of the United States Treasury Department, in each case as amended from time to time; (d) that to the actual knowledge of a Party, is controlled by any person and/or corporation described in the foregoing item (b) or (c) with ownership of 20% or more of outstanding voting securities being presumptively a control position; or (e) that has its principal place of business, or the majority of its business operations (measured by revenues), located in a country described in the foregoing item (c).</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sanctions administered or enforced by any Government Authority or inter-governmental body, including but not limited to the United Nations Security Council, Hong Kong Monetary Authority, the People's Republic of China's Ministry of Commerce or Ministry of Foreign Affairs, the European Union, Her Majesty's Treasury, the Government of Switzerland or the US Government's Office of Foreign Assets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Shares, or any other securities issued by the Company which are exercisable, convertible into, or carrying the right to subscribe for, shares in the capital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each of the VE Founder Holdcos, the VE Financial Shareholders, SIG, the MCN Shareholders and NIP Shareholders, as well as any registered holder of Shares from time to time having the benefit of this Agreement, and the expression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shall mean any one of them as the context requires.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Ordinary Matters</w:t>
      </w:r>
      <w:r>
        <w:rPr>
          <w:rFonts w:ascii="Times New Roman" w:cs="Times New Roman" w:eastAsia="Times New Roman" w:hAnsi="Times New Roman"/>
          <w:sz w:val="18"/>
          <w:szCs w:val="18"/>
          <w:color w:val="auto"/>
        </w:rPr>
        <w:t xml:space="preserve">" means such matters set out in </w:t>
      </w:r>
      <w:r>
        <w:rPr>
          <w:rFonts w:ascii="Times New Roman" w:cs="Times New Roman" w:eastAsia="Times New Roman" w:hAnsi="Times New Roman"/>
          <w:sz w:val="18"/>
          <w:szCs w:val="18"/>
          <w:u w:val="single" w:color="auto"/>
          <w:color w:val="auto"/>
        </w:rPr>
        <w:t>Part B-2 of Schedule 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Reserved Matters</w:t>
      </w:r>
      <w:r>
        <w:rPr>
          <w:rFonts w:ascii="Times New Roman" w:cs="Times New Roman" w:eastAsia="Times New Roman" w:hAnsi="Times New Roman"/>
          <w:sz w:val="18"/>
          <w:szCs w:val="18"/>
          <w:color w:val="auto"/>
        </w:rPr>
        <w:t xml:space="preserve">" means such matters set out in </w:t>
      </w:r>
      <w:r>
        <w:rPr>
          <w:rFonts w:ascii="Times New Roman" w:cs="Times New Roman" w:eastAsia="Times New Roman" w:hAnsi="Times New Roman"/>
          <w:sz w:val="18"/>
          <w:szCs w:val="18"/>
          <w:u w:val="single" w:color="auto"/>
          <w:color w:val="auto"/>
        </w:rPr>
        <w:t>Part B-1 of 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in the capital of the Company together with all rights attaching thereto, including for the avoidance of doubt, the Preferred Shares and the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has the meaning set out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Period</w:t>
      </w:r>
      <w:r>
        <w:rPr>
          <w:rFonts w:ascii="Times New Roman" w:cs="Times New Roman" w:eastAsia="Times New Roman" w:hAnsi="Times New Roman"/>
          <w:sz w:val="18"/>
          <w:szCs w:val="18"/>
          <w:color w:val="auto"/>
        </w:rPr>
        <w:t>" has the meaning set out in Clause 10.5.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Unit Price</w:t>
      </w:r>
      <w:r>
        <w:rPr>
          <w:rFonts w:ascii="Times New Roman" w:cs="Times New Roman" w:eastAsia="Times New Roman" w:hAnsi="Times New Roman"/>
          <w:sz w:val="18"/>
          <w:szCs w:val="18"/>
          <w:color w:val="auto"/>
        </w:rPr>
        <w:t>" has the meaning set out in Clause 10.13.</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corporation of which a majority of the securities entitled to vote generally in the election of directors thereof, at the time as of which any determination is being made, are owned by such person, either directly or indirectly, (ii) any joint venture, general or limited partnership, limited liability company or other legal entity in which such person is the record or beneficial owner, directly or indirectly, of a majority of the voting interests or the general partner, or (iii) any variable interest entity controlled by such person or its Subsidiary.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Provisions</w:t>
      </w:r>
      <w:r>
        <w:rPr>
          <w:rFonts w:ascii="Times New Roman" w:cs="Times New Roman" w:eastAsia="Times New Roman" w:hAnsi="Times New Roman"/>
          <w:sz w:val="18"/>
          <w:szCs w:val="18"/>
          <w:color w:val="auto"/>
        </w:rPr>
        <w:t>" means Clauses 18 to 22, and 26 to 43 and any other provisions of this Agreement to the extent relevant to the interpretation or enforcement of such provisions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 Notice</w:t>
      </w:r>
      <w:r>
        <w:rPr>
          <w:rFonts w:ascii="Times New Roman" w:cs="Times New Roman" w:eastAsia="Times New Roman" w:hAnsi="Times New Roman"/>
          <w:sz w:val="18"/>
          <w:szCs w:val="18"/>
          <w:color w:val="auto"/>
        </w:rPr>
        <w:t>" has the meaning set out in Clause 13.2.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 Securities</w:t>
      </w:r>
      <w:r>
        <w:rPr>
          <w:rFonts w:ascii="Times New Roman" w:cs="Times New Roman" w:eastAsia="Times New Roman" w:hAnsi="Times New Roman"/>
          <w:sz w:val="18"/>
          <w:szCs w:val="18"/>
          <w:color w:val="auto"/>
        </w:rPr>
        <w:t>" has the meaning set out in Clause 14.1.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Tag-Along Right</w:t>
      </w:r>
      <w:r>
        <w:rPr>
          <w:rFonts w:ascii="Times New Roman" w:cs="Times New Roman" w:eastAsia="Times New Roman" w:hAnsi="Times New Roman"/>
          <w:sz w:val="18"/>
          <w:szCs w:val="18"/>
          <w:color w:val="auto"/>
        </w:rPr>
        <w:t>" has the meaning set out in Clause 14.1.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Rights Ordinance</w:t>
      </w:r>
      <w:r>
        <w:rPr>
          <w:rFonts w:ascii="Times New Roman" w:cs="Times New Roman" w:eastAsia="Times New Roman" w:hAnsi="Times New Roman"/>
          <w:sz w:val="18"/>
          <w:szCs w:val="18"/>
          <w:color w:val="auto"/>
        </w:rPr>
        <w:t>" means the Contracts (Rights of Third Parties) Ordinance (Chapter 623 of the Laws of Hong Kong).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Subscription Agreement, the Application for Shares, this Agreement, and any other documents entered into pursuant to this Agreement or otherwise in connection with the proposed transactions contemplated thereunder (or any other transactions otherwise necessary to give effect to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has the meaning set out in Clause 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has the meaning set out in Clause 12.1.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form of taxation, levy, duty, charge, contribution, withholding or impost of whatever nature (including any related fine, penalty, additional tax, surcharge or interest) imposed, collected or assessed by, or payable to, a Tax Authority.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Tax authority or other authority competent to impose, assess or enforce any liability to Tax whether in the Cayman Islands, Hong Kong, the PRC, Sweden or elsewhere.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the generally accepted accounting principles in the United States, applied on a consistent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Directors</w:t>
      </w:r>
      <w:r>
        <w:rPr>
          <w:rFonts w:ascii="Times New Roman" w:cs="Times New Roman" w:eastAsia="Times New Roman" w:hAnsi="Times New Roman"/>
          <w:sz w:val="18"/>
          <w:szCs w:val="18"/>
          <w:color w:val="auto"/>
        </w:rPr>
        <w:t>" has the meaning set out in Clause 6.3.</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Founder Parties</w:t>
      </w:r>
      <w:r>
        <w:rPr>
          <w:rFonts w:ascii="Times New Roman" w:cs="Times New Roman" w:eastAsia="Times New Roman" w:hAnsi="Times New Roman"/>
          <w:sz w:val="18"/>
          <w:szCs w:val="18"/>
          <w:color w:val="auto"/>
        </w:rPr>
        <w:t>" means, collectively, the VE Founders and the VE Founder Holdcos.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Group Companies</w:t>
      </w:r>
      <w:r>
        <w:rPr>
          <w:rFonts w:ascii="Times New Roman" w:cs="Times New Roman" w:eastAsia="Times New Roman" w:hAnsi="Times New Roman"/>
          <w:sz w:val="18"/>
          <w:szCs w:val="18"/>
          <w:color w:val="auto"/>
        </w:rPr>
        <w:t xml:space="preserve">" means such persons listed in </w:t>
      </w:r>
      <w:r>
        <w:rPr>
          <w:rFonts w:ascii="Times New Roman" w:cs="Times New Roman" w:eastAsia="Times New Roman" w:hAnsi="Times New Roman"/>
          <w:sz w:val="18"/>
          <w:szCs w:val="18"/>
          <w:u w:val="single" w:color="auto"/>
          <w:color w:val="auto"/>
        </w:rPr>
        <w:t>Part A of Schedule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Date</w:t>
      </w:r>
      <w:r>
        <w:rPr>
          <w:rFonts w:ascii="Times New Roman" w:cs="Times New Roman" w:eastAsia="Times New Roman" w:hAnsi="Times New Roman"/>
          <w:sz w:val="18"/>
          <w:szCs w:val="18"/>
          <w:color w:val="auto"/>
        </w:rPr>
        <w:t>" has the meaning set out in Clause 16.5.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Funds</w:t>
      </w:r>
      <w:r>
        <w:rPr>
          <w:rFonts w:ascii="Times New Roman" w:cs="Times New Roman" w:eastAsia="Times New Roman" w:hAnsi="Times New Roman"/>
          <w:sz w:val="18"/>
          <w:szCs w:val="18"/>
          <w:color w:val="auto"/>
        </w:rPr>
        <w:t>" has the meaning set out in Clause 16.5.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Price</w:t>
      </w:r>
      <w:r>
        <w:rPr>
          <w:rFonts w:ascii="Times New Roman" w:cs="Times New Roman" w:eastAsia="Times New Roman" w:hAnsi="Times New Roman"/>
          <w:sz w:val="18"/>
          <w:szCs w:val="18"/>
          <w:color w:val="auto"/>
        </w:rPr>
        <w:t>" has the meaning set out in Clause 16.4.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Trigger Events</w:t>
      </w:r>
      <w:r>
        <w:rPr>
          <w:rFonts w:ascii="Times New Roman" w:cs="Times New Roman" w:eastAsia="Times New Roman" w:hAnsi="Times New Roman"/>
          <w:sz w:val="18"/>
          <w:szCs w:val="18"/>
          <w:color w:val="auto"/>
        </w:rPr>
        <w:t xml:space="preserve">" means the events or circumstances as set out in </w:t>
      </w:r>
      <w:r>
        <w:rPr>
          <w:rFonts w:ascii="Times New Roman" w:cs="Times New Roman" w:eastAsia="Times New Roman" w:hAnsi="Times New Roman"/>
          <w:sz w:val="18"/>
          <w:szCs w:val="18"/>
          <w:u w:val="single" w:color="auto"/>
          <w:color w:val="auto"/>
        </w:rPr>
        <w:t>Part A of Schedule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Shareholders</w:t>
      </w:r>
      <w:r>
        <w:rPr>
          <w:rFonts w:ascii="Times New Roman" w:cs="Times New Roman" w:eastAsia="Times New Roman" w:hAnsi="Times New Roman"/>
          <w:sz w:val="18"/>
          <w:szCs w:val="18"/>
          <w:color w:val="auto"/>
        </w:rPr>
        <w:t>" has the meaning set out in Clause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Redemption Shares</w:t>
      </w:r>
      <w:r>
        <w:rPr>
          <w:rFonts w:ascii="Times New Roman" w:cs="Times New Roman" w:eastAsia="Times New Roman" w:hAnsi="Times New Roman"/>
          <w:sz w:val="18"/>
          <w:szCs w:val="18"/>
          <w:color w:val="auto"/>
        </w:rPr>
        <w:t>" has the meaning set out in Clause 16.1.</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Revenue</w:t>
      </w:r>
      <w:r>
        <w:rPr>
          <w:rFonts w:ascii="Times New Roman" w:cs="Times New Roman" w:eastAsia="Times New Roman" w:hAnsi="Times New Roman"/>
          <w:sz w:val="18"/>
          <w:szCs w:val="18"/>
          <w:color w:val="auto"/>
        </w:rPr>
        <w:t>" means the total revenue of the VE Group Companies on a consolidated basis audited according to the US GAAP as stated in the management accounts of such VE Group Companies for the Earn-Out Period prepared based on the US GAAP, provided that: (i) the VE Revenue shall include the net income generated from the transfer of any esports player if there is an associated asset value connected with such player on the balance sheet of any of the VE Group Companies, (ii) the VE Revenue shall exclude (X) the income generated from the realisations of any assets or the transfer of league slots which are owned by any of the VE Group Companies, or (Y) the Transfer of other material assets such as interest in Subsidiaries, Business Intellectual Property, data and other assets of the Group; and (iii) the revenue generated by a VE Group Company which is not (directly or indirectly) wholly owned by the VIE Company shall be calculated according to the pro-rata shareholding of the VIE Company in such VE Group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Shares</w:t>
      </w:r>
      <w:r>
        <w:rPr>
          <w:rFonts w:ascii="Times New Roman" w:cs="Times New Roman" w:eastAsia="Times New Roman" w:hAnsi="Times New Roman"/>
          <w:sz w:val="18"/>
          <w:szCs w:val="18"/>
          <w:color w:val="auto"/>
        </w:rPr>
        <w:t>" means Shares held by all VE Shareholders in aggregate at any given time (each, a "</w:t>
      </w:r>
      <w:r>
        <w:rPr>
          <w:rFonts w:ascii="Times New Roman" w:cs="Times New Roman" w:eastAsia="Times New Roman" w:hAnsi="Times New Roman"/>
          <w:sz w:val="18"/>
          <w:szCs w:val="18"/>
          <w:b w:val="1"/>
          <w:bCs w:val="1"/>
          <w:color w:val="auto"/>
        </w:rPr>
        <w:t>VE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Shareholders</w:t>
      </w:r>
      <w:r>
        <w:rPr>
          <w:rFonts w:ascii="Times New Roman" w:cs="Times New Roman" w:eastAsia="Times New Roman" w:hAnsi="Times New Roman"/>
          <w:sz w:val="18"/>
          <w:szCs w:val="18"/>
          <w:color w:val="auto"/>
        </w:rPr>
        <w:t>" has the meaning set out in the Recitals.</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 Company</w:t>
      </w:r>
      <w:r>
        <w:rPr>
          <w:rFonts w:ascii="Times New Roman" w:cs="Times New Roman" w:eastAsia="Times New Roman" w:hAnsi="Times New Roman"/>
          <w:sz w:val="18"/>
          <w:szCs w:val="18"/>
          <w:color w:val="auto"/>
        </w:rPr>
        <w:t xml:space="preserve">" means Wuhan Xingjingweiwu Culture &amp; Sports Development Co., Ltd. (in Chinese: </w:t>
      </w:r>
      <w:r>
        <w:rPr>
          <w:rFonts w:ascii="SimSun" w:cs="SimSun" w:eastAsia="SimSun" w:hAnsi="SimSun"/>
          <w:sz w:val="18"/>
          <w:szCs w:val="18"/>
          <w:color w:val="auto"/>
        </w:rPr>
        <w:t>武汉星竞威武文体发展有限公司</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 Subsidiaries</w:t>
      </w:r>
      <w:r>
        <w:rPr>
          <w:rFonts w:ascii="Times New Roman" w:cs="Times New Roman" w:eastAsia="Times New Roman" w:hAnsi="Times New Roman"/>
          <w:sz w:val="18"/>
          <w:szCs w:val="18"/>
          <w:color w:val="auto"/>
        </w:rPr>
        <w:t xml:space="preserve">" means those entities set out in </w:t>
      </w:r>
      <w:r>
        <w:rPr>
          <w:rFonts w:ascii="Times New Roman" w:cs="Times New Roman" w:eastAsia="Times New Roman" w:hAnsi="Times New Roman"/>
          <w:sz w:val="18"/>
          <w:szCs w:val="18"/>
          <w:u w:val="single" w:color="auto"/>
          <w:color w:val="auto"/>
        </w:rPr>
        <w:t>Part A of Schedule 4</w:t>
      </w:r>
      <w:r>
        <w:rPr>
          <w:rFonts w:ascii="Times New Roman" w:cs="Times New Roman" w:eastAsia="Times New Roman" w:hAnsi="Times New Roman"/>
          <w:sz w:val="18"/>
          <w:szCs w:val="18"/>
          <w:color w:val="auto"/>
        </w:rPr>
        <w:t xml:space="preserve"> under the column "VIE Subsidiaries" and "</w:t>
      </w:r>
      <w:r>
        <w:rPr>
          <w:rFonts w:ascii="Times New Roman" w:cs="Times New Roman" w:eastAsia="Times New Roman" w:hAnsi="Times New Roman"/>
          <w:sz w:val="18"/>
          <w:szCs w:val="18"/>
          <w:b w:val="1"/>
          <w:bCs w:val="1"/>
          <w:color w:val="auto"/>
        </w:rPr>
        <w:t>VIE Subsidiary</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Wuhan Douyu</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Part A-3 of 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Wuhan Douyu Competitors</w:t>
      </w:r>
      <w:r>
        <w:rPr>
          <w:rFonts w:ascii="Times New Roman" w:cs="Times New Roman" w:eastAsia="Times New Roman" w:hAnsi="Times New Roman"/>
          <w:sz w:val="18"/>
          <w:szCs w:val="18"/>
          <w:color w:val="auto"/>
        </w:rPr>
        <w:t xml:space="preserve">" means such persons the principal business of which involves components or activities which compete with the current business of Wuhan Douyu and/or its Affiliates as of the date of this Agreement, including (i) Bilibili Inc., (ii) Inke Limited, (iii) </w:t>
      </w:r>
      <w:r>
        <w:rPr>
          <w:rFonts w:ascii="SimSun" w:cs="SimSun" w:eastAsia="SimSun" w:hAnsi="SimSun"/>
          <w:sz w:val="18"/>
          <w:szCs w:val="18"/>
          <w:color w:val="auto"/>
        </w:rPr>
        <w:t>北京快手科技有限公司</w:t>
      </w:r>
      <w:r>
        <w:rPr>
          <w:rFonts w:ascii="Times New Roman" w:cs="Times New Roman" w:eastAsia="Times New Roman" w:hAnsi="Times New Roman"/>
          <w:sz w:val="18"/>
          <w:szCs w:val="18"/>
          <w:color w:val="auto"/>
        </w:rPr>
        <w:t>, (iv) Baidu, Inc., (v) Alibaba Group Holding Limited, (vi) NetEase, and (vii) Huya Inc., as well as their respective Affiliates, but excluding, for the avoidance of doubt, Beijing Bytedance Technology Co., Ltd. and/or its Affiliates. For the avoidance of doubt, Wuhan Douyu’s current business as of the date of this Agreement refers to interactive entertainment services such as live broadcast and video, as well as the upstream and downstream businesses related to these businesses that Wuhan Douyu will expand to in the future.</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7" w:name="page398"/>
    <w:bookmarkEnd w:id="397"/>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references, express or implied, to statutes or statutory provisions shall be construed as references to those statutes or provisions as respectively amended or re-enacted or as their application is modified from time to time by other provisions (whether before or after the date hereof) and shall include any statutes or provisions of which they are re-enactments (whether with or without modification) and any orders, regulations, instruments or other subordinate legislation under the relevant statute or statutory provision. References to sections of consolidating legislation shall wherever necessary or appropriate in the context be construed as including references to the sections of the previous legislation from which the consolidating legislation has been prepared.</w:t>
      </w:r>
    </w:p>
    <w:p>
      <w:pPr>
        <w:spacing w:after="0" w:line="187"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References to any document (including this Agreement) are references to that document as amended, consolidated, supplemented, novated or replaced from time to time.</w:t>
      </w:r>
    </w:p>
    <w:p>
      <w:pPr>
        <w:spacing w:after="0" w:line="16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References herein to Recitals, Clauses, Schedules and Exhibits are to recitals, clauses, schedules and exhibits set out in this Agreement unless the context requires otherwise, and the Schedules and Exhibits to this Agreement shall be deemed to form part of this Agreement.</w:t>
      </w:r>
    </w:p>
    <w:p>
      <w:pPr>
        <w:spacing w:after="0" w:line="162"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expressions "VE Founders", "VE Founder Holdcos", "VE Financial Shareholders", "NIP Founder", "NIP Financial Shareholders" "NIP Shareholders", "the Shareholders" and "the Company" shall, where the context permits, include their respective permitted successors.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Headings are inserted for convenience only and shall not affect the construction of this Agreement.</w:t>
      </w:r>
    </w:p>
    <w:p>
      <w:pPr>
        <w:spacing w:after="0" w:line="225"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A document expressed to be "in the approved terms" means a document the terms of which have been approved by or on behalf of the Parties and a copy of which has been signed for the purposes of identification by or on behalf of the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Save where specifically required or indicated otherwise:</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words importing one gender shall be treated as importing any gender, words importing individuals shall be treated as importing corporations and vice versa, words importing the singular shall be treated as importing the plural and vice versa, and words importing the whole shall be treated as including a reference to any part thereof;</w:t>
      </w:r>
    </w:p>
    <w:p>
      <w:pPr>
        <w:spacing w:after="0" w:line="172" w:lineRule="exact"/>
        <w:rPr>
          <w:sz w:val="20"/>
          <w:szCs w:val="20"/>
          <w:color w:val="auto"/>
        </w:rPr>
      </w:pPr>
    </w:p>
    <w:p>
      <w:pPr>
        <w:jc w:val="both"/>
        <w:ind w:left="1280" w:right="20" w:hanging="624"/>
        <w:spacing w:after="0" w:line="291" w:lineRule="auto"/>
        <w:tabs>
          <w:tab w:leader="none" w:pos="1280"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shall include any individual, firm, body corporate, unincorporated association, government, state or agency of state, association, joint venture or partnership, in each case whether or not having a separate legal personality. References to a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be construed so as to include any company, corporation or other body corporate wherever and however incorporated or established;</w:t>
      </w:r>
    </w:p>
    <w:p>
      <w:pPr>
        <w:spacing w:after="0" w:line="152" w:lineRule="exact"/>
        <w:rPr>
          <w:rFonts w:ascii="Times New Roman" w:cs="Times New Roman" w:eastAsia="Times New Roman" w:hAnsi="Times New Roman"/>
          <w:sz w:val="17"/>
          <w:szCs w:val="17"/>
          <w:color w:val="auto"/>
        </w:rPr>
      </w:pPr>
    </w:p>
    <w:p>
      <w:pPr>
        <w:jc w:val="both"/>
        <w:ind w:left="1280" w:hanging="624"/>
        <w:spacing w:after="0" w:line="268" w:lineRule="auto"/>
        <w:tabs>
          <w:tab w:leader="none" w:pos="12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word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any similar term) are not to be construed as implying any limitation and general words introduced by the word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(or any similar term) shall not be given a restrictive meaning by reason of the fact that they are preceded by words indicating a particular class of acts, matters or things;</w:t>
      </w:r>
    </w:p>
    <w:p>
      <w:pPr>
        <w:spacing w:after="0" w:line="174"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Hong Kong statutory provision or legal term for any action, remedy, method of judicial proceeding, legal document, legal status, court, official or other legal concept, state of affairs or thing shall in respect of any jurisdiction other than Hong Kong be deemed to include that which most nearly approximates in that jurisdiction to the Hong Kong statutory provision or legal term or other legal concept, state of affairs or thing;</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8" w:name="page399"/>
    <w:bookmarkEnd w:id="398"/>
    <w:p>
      <w:pPr>
        <w:ind w:left="1280" w:hanging="624"/>
        <w:spacing w:after="0" w:line="286" w:lineRule="auto"/>
        <w:tabs>
          <w:tab w:leader="none" w:pos="12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includes any method of reproducing words or text in a legible and non-transitory form and, for the avoidance of doubt, shall include e-mail;</w:t>
      </w:r>
    </w:p>
    <w:p>
      <w:pPr>
        <w:spacing w:after="0" w:line="154" w:lineRule="exact"/>
        <w:rPr>
          <w:rFonts w:ascii="Times New Roman" w:cs="Times New Roman" w:eastAsia="Times New Roman" w:hAnsi="Times New Roman"/>
          <w:sz w:val="18"/>
          <w:szCs w:val="18"/>
          <w:color w:val="auto"/>
        </w:rPr>
      </w:pPr>
    </w:p>
    <w:p>
      <w:pPr>
        <w:jc w:val="both"/>
        <w:ind w:left="1280" w:hanging="624"/>
        <w:spacing w:after="0" w:line="268" w:lineRule="auto"/>
        <w:tabs>
          <w:tab w:leader="none" w:pos="12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indemnify</w:t>
      </w:r>
      <w:r>
        <w:rPr>
          <w:rFonts w:ascii="Times New Roman" w:cs="Times New Roman" w:eastAsia="Times New Roman" w:hAnsi="Times New Roman"/>
          <w:sz w:val="18"/>
          <w:szCs w:val="18"/>
          <w:color w:val="auto"/>
        </w:rPr>
        <w:t>" and to "</w:t>
      </w:r>
      <w:r>
        <w:rPr>
          <w:rFonts w:ascii="Times New Roman" w:cs="Times New Roman" w:eastAsia="Times New Roman" w:hAnsi="Times New Roman"/>
          <w:sz w:val="18"/>
          <w:szCs w:val="18"/>
          <w:b w:val="1"/>
          <w:bCs w:val="1"/>
          <w:color w:val="auto"/>
        </w:rPr>
        <w:t>indemnifying</w:t>
      </w:r>
      <w:r>
        <w:rPr>
          <w:rFonts w:ascii="Times New Roman" w:cs="Times New Roman" w:eastAsia="Times New Roman" w:hAnsi="Times New Roman"/>
          <w:sz w:val="18"/>
          <w:szCs w:val="18"/>
          <w:color w:val="auto"/>
        </w:rPr>
        <w:t>" any person against any Losses by reference to any matter, event or circumstance includes indemnifying and keeping that person indemnified against all Losses from time to time made, suffered or incurred as a direct or indirect consequence of or which would not have arisen but for that matter, event or circumstance;</w:t>
      </w:r>
    </w:p>
    <w:p>
      <w:pPr>
        <w:spacing w:after="0" w:line="170" w:lineRule="exact"/>
        <w:rPr>
          <w:rFonts w:ascii="Times New Roman" w:cs="Times New Roman" w:eastAsia="Times New Roman" w:hAnsi="Times New Roman"/>
          <w:sz w:val="18"/>
          <w:szCs w:val="18"/>
          <w:color w:val="auto"/>
        </w:rPr>
      </w:pPr>
    </w:p>
    <w:p>
      <w:pPr>
        <w:ind w:left="1280" w:hanging="624"/>
        <w:spacing w:after="0" w:line="286" w:lineRule="auto"/>
        <w:tabs>
          <w:tab w:leader="none" w:pos="12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are to the lawful currency of United States, references to "</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are to the lawful currency of the PRC, and references to "</w:t>
      </w:r>
      <w:r>
        <w:rPr>
          <w:rFonts w:ascii="Times New Roman" w:cs="Times New Roman" w:eastAsia="Times New Roman" w:hAnsi="Times New Roman"/>
          <w:sz w:val="18"/>
          <w:szCs w:val="18"/>
          <w:b w:val="1"/>
          <w:bCs w:val="1"/>
          <w:color w:val="auto"/>
        </w:rPr>
        <w:t>SEK</w:t>
      </w:r>
      <w:r>
        <w:rPr>
          <w:rFonts w:ascii="Times New Roman" w:cs="Times New Roman" w:eastAsia="Times New Roman" w:hAnsi="Times New Roman"/>
          <w:sz w:val="18"/>
          <w:szCs w:val="18"/>
          <w:color w:val="auto"/>
        </w:rPr>
        <w:t>" are to the lawful currency of the Kingdom of Sweden as at the date of this Agreement; and</w:t>
      </w:r>
    </w:p>
    <w:p>
      <w:pPr>
        <w:spacing w:after="0" w:line="158"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of the day are to that time in Hong Kong and references to a day are to a period of 24 hours running from midnight in Hong Kong.</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Unless otherwise stated, all warranties, representations, indemnities, covenants, agreements, undertakings and obligations given or entered into by more than one person are given or entered into jointly and severally.</w:t>
      </w:r>
    </w:p>
    <w:p>
      <w:pPr>
        <w:spacing w:after="0" w:line="158" w:lineRule="exact"/>
        <w:rPr>
          <w:sz w:val="20"/>
          <w:szCs w:val="20"/>
          <w:color w:val="auto"/>
        </w:rPr>
      </w:pPr>
    </w:p>
    <w:p>
      <w:pPr>
        <w:ind w:left="640" w:hanging="632"/>
        <w:spacing w:after="0"/>
        <w:tabs>
          <w:tab w:leader="none" w:pos="64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With respect to each Shareholder, this Agreement shall become effective upon its Completion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hanging="632"/>
        <w:spacing w:after="0"/>
        <w:tabs>
          <w:tab w:leader="none" w:pos="64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Activities of the Group</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business of the Group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shall include:</w:t>
      </w:r>
    </w:p>
    <w:p>
      <w:pPr>
        <w:spacing w:after="0" w:line="229" w:lineRule="exact"/>
        <w:rPr>
          <w:sz w:val="20"/>
          <w:szCs w:val="20"/>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professional esports teams;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and organization of professional esports events, tournaments and competitions;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gaming products and services;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holding of entities in the esports industry;</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esports club;</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 brokerage business;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broadcasting business;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authorization.</w:t>
      </w:r>
    </w:p>
    <w:p>
      <w:pPr>
        <w:spacing w:after="0" w:line="225"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Parties shall take all Necessary Actions to procure that unless otherwise altered in accordance with the Requisite Approvals, the Group shall carry on the Business in accordance with the Business Plan and this Agreement.</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Business shall be conducted in accordance with good and commercial business practice and subject thereto, in accordance with the Business Plan from time to time. Each of the Parties shall use its respective reasonable endeavours, without being required to incur any financial obligation (other than as expressly set out in this Agreement) to promote the interests of the Group, to ensure that the Group conducts the Business with maximum energy and efficiency and to facilitate the promotion of the Business and the interests of the Group.</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9" w:name="page400"/>
    <w:bookmarkEnd w:id="399"/>
    <w:p>
      <w:pPr>
        <w:ind w:left="632" w:hanging="632"/>
        <w:spacing w:after="0"/>
        <w:tabs>
          <w:tab w:leader="none" w:pos="632"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initial capital and cash requirements of the Company shall be satisfied by utilisation of the working capital of the Company in accordance with the Business Plan.</w:t>
      </w:r>
    </w:p>
    <w:p>
      <w:pPr>
        <w:spacing w:after="0" w:line="162" w:lineRule="exact"/>
        <w:rPr>
          <w:sz w:val="20"/>
          <w:szCs w:val="20"/>
          <w:color w:val="auto"/>
        </w:rPr>
      </w:pPr>
    </w:p>
    <w:p>
      <w:pPr>
        <w:jc w:val="both"/>
        <w:ind w:left="632" w:hanging="633"/>
        <w:spacing w:after="0" w:line="261" w:lineRule="auto"/>
        <w:tabs>
          <w:tab w:leader="none" w:pos="61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the Board requests that additional capital contribution to the Company be made to satisfy the Group's working capital requirements or otherwise (in each case as determined by the Requisite Approvals), each of the Shareholders shall be entitled to make the additional capital injections in the proportion of their Equity Ratio as at the time of such request(s), provided that any Shareholder may elect not to make such additional capital contribution with the consequence of having its shareholding in the Company being diluted.</w:t>
      </w:r>
    </w:p>
    <w:p>
      <w:pPr>
        <w:spacing w:after="0" w:line="180" w:lineRule="exact"/>
        <w:rPr>
          <w:sz w:val="20"/>
          <w:szCs w:val="20"/>
          <w:color w:val="auto"/>
        </w:rPr>
      </w:pPr>
    </w:p>
    <w:p>
      <w:pPr>
        <w:jc w:val="both"/>
        <w:ind w:left="632" w:hanging="633"/>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External borrowings, financing or other financial support shall be procured using the assets of the Group as security on a non-recourse basis without any additional security or guarantee being provided by the Shareholders, save in relation to any contrary arrangements subject to the Requisite Approvals.</w:t>
      </w:r>
    </w:p>
    <w:p>
      <w:pPr>
        <w:spacing w:after="0" w:line="172" w:lineRule="exact"/>
        <w:rPr>
          <w:sz w:val="20"/>
          <w:szCs w:val="20"/>
          <w:color w:val="auto"/>
        </w:rPr>
      </w:pPr>
    </w:p>
    <w:p>
      <w:pPr>
        <w:ind w:left="632" w:hanging="632"/>
        <w:spacing w:after="0"/>
        <w:tabs>
          <w:tab w:leader="none" w:pos="632"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ESOP</w:t>
      </w:r>
    </w:p>
    <w:p>
      <w:pPr>
        <w:spacing w:after="0" w:line="229" w:lineRule="exact"/>
        <w:rPr>
          <w:sz w:val="20"/>
          <w:szCs w:val="20"/>
          <w:color w:val="auto"/>
        </w:rPr>
      </w:pPr>
    </w:p>
    <w:p>
      <w:pPr>
        <w:jc w:val="both"/>
        <w:ind w:left="632" w:hanging="633"/>
        <w:spacing w:after="0" w:line="232" w:lineRule="exact"/>
        <w:tabs>
          <w:tab w:leader="none" w:pos="61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As of the date of this Agreement, the Company has reserved 4,123,826 Ordinary Shares held by VE ESOP Platform for future issuance to officers, directors, employees and/or consultants of the Group Company (the "</w:t>
      </w:r>
      <w:r>
        <w:rPr>
          <w:rFonts w:ascii="Times New Roman" w:cs="Times New Roman" w:eastAsia="Times New Roman" w:hAnsi="Times New Roman"/>
          <w:sz w:val="18"/>
          <w:szCs w:val="18"/>
          <w:b w:val="1"/>
          <w:bCs w:val="1"/>
          <w:color w:val="auto"/>
        </w:rPr>
        <w:t>Existing ESOP</w:t>
      </w:r>
      <w:r>
        <w:rPr>
          <w:rFonts w:ascii="Times New Roman" w:cs="Times New Roman" w:eastAsia="Times New Roman" w:hAnsi="Times New Roman"/>
          <w:sz w:val="18"/>
          <w:szCs w:val="18"/>
          <w:color w:val="auto"/>
        </w:rPr>
        <w:t>"). The employee stock ownership plan regarding the Existing ESOP was originally established by Shenzhen Weiwu Esports Internet Technology Co., Ltd. (</w:t>
      </w:r>
      <w:r>
        <w:rPr>
          <w:rFonts w:ascii="SimSun" w:cs="SimSun" w:eastAsia="SimSun" w:hAnsi="SimSun"/>
          <w:sz w:val="18"/>
          <w:szCs w:val="18"/>
          <w:color w:val="auto"/>
        </w:rPr>
        <w:t>深圳威武电竞网络科技有限公司</w:t>
      </w:r>
      <w:r>
        <w:rPr>
          <w:rFonts w:ascii="Times New Roman" w:cs="Times New Roman" w:eastAsia="Times New Roman" w:hAnsi="Times New Roman"/>
          <w:sz w:val="18"/>
          <w:szCs w:val="18"/>
          <w:color w:val="auto"/>
        </w:rPr>
        <w:t>) on 31 December 2019, under which 15% of its equity securities were reserved and held by Shenzhen Weiwu Investment Partnership (Limited Partnership) (</w:t>
      </w:r>
      <w:r>
        <w:rPr>
          <w:rFonts w:ascii="SimSun" w:cs="SimSun" w:eastAsia="SimSun" w:hAnsi="SimSun"/>
          <w:sz w:val="18"/>
          <w:szCs w:val="18"/>
          <w:color w:val="auto"/>
        </w:rPr>
        <w:t>深圳市威武投资合伙企业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Such original employee stock ownership plan was later succeeded as the employee stock ownership plan of the VIE Company in accordance with (i) the Merger &amp; Reorganization Agreement (</w:t>
      </w:r>
      <w:r>
        <w:rPr>
          <w:rFonts w:ascii="SimSun" w:cs="SimSun" w:eastAsia="SimSun" w:hAnsi="SimSun"/>
          <w:sz w:val="18"/>
          <w:szCs w:val="18"/>
          <w:color w:val="auto"/>
        </w:rPr>
        <w:t>重组合并协议</w:t>
      </w:r>
      <w:r>
        <w:rPr>
          <w:rFonts w:ascii="Times New Roman" w:cs="Times New Roman" w:eastAsia="Times New Roman" w:hAnsi="Times New Roman"/>
          <w:sz w:val="18"/>
          <w:szCs w:val="18"/>
          <w:color w:val="auto"/>
        </w:rPr>
        <w:t>) among Shenzhen Weiwu Esports Internet Technology Co., Ltd. (</w:t>
      </w:r>
      <w:r>
        <w:rPr>
          <w:rFonts w:ascii="SimSun" w:cs="SimSun" w:eastAsia="SimSun" w:hAnsi="SimSun"/>
          <w:sz w:val="18"/>
          <w:szCs w:val="18"/>
          <w:color w:val="auto"/>
        </w:rPr>
        <w:t>深圳威武电竞网络科技有限公司</w:t>
      </w:r>
      <w:r>
        <w:rPr>
          <w:rFonts w:ascii="Times New Roman" w:cs="Times New Roman" w:eastAsia="Times New Roman" w:hAnsi="Times New Roman"/>
          <w:sz w:val="18"/>
          <w:szCs w:val="18"/>
          <w:color w:val="auto"/>
        </w:rPr>
        <w:t>), the VIE Company and other related parties dated 18 December 2020,</w:t>
      </w:r>
    </w:p>
    <w:p>
      <w:pPr>
        <w:spacing w:after="0" w:line="12" w:lineRule="exact"/>
        <w:rPr>
          <w:sz w:val="20"/>
          <w:szCs w:val="20"/>
          <w:color w:val="auto"/>
        </w:rPr>
      </w:pPr>
    </w:p>
    <w:p>
      <w:pPr>
        <w:jc w:val="both"/>
        <w:ind w:left="632" w:firstLine="2"/>
        <w:spacing w:after="0" w:line="235" w:lineRule="exact"/>
        <w:tabs>
          <w:tab w:leader="none" w:pos="9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Reorganization Agreement (</w:t>
      </w:r>
      <w:r>
        <w:rPr>
          <w:rFonts w:ascii="SimSun" w:cs="SimSun" w:eastAsia="SimSun" w:hAnsi="SimSun"/>
          <w:sz w:val="18"/>
          <w:szCs w:val="18"/>
          <w:color w:val="auto"/>
        </w:rPr>
        <w:t>股权重组协议</w:t>
      </w:r>
      <w:r>
        <w:rPr>
          <w:rFonts w:ascii="Times New Roman" w:cs="Times New Roman" w:eastAsia="Times New Roman" w:hAnsi="Times New Roman"/>
          <w:sz w:val="18"/>
          <w:szCs w:val="18"/>
          <w:color w:val="auto"/>
        </w:rPr>
        <w:t>) among Xingjing Culture Media Co., Ltd. (</w:t>
      </w:r>
      <w:r>
        <w:rPr>
          <w:rFonts w:ascii="SimSun" w:cs="SimSun" w:eastAsia="SimSun" w:hAnsi="SimSun"/>
          <w:sz w:val="18"/>
          <w:szCs w:val="18"/>
          <w:color w:val="auto"/>
        </w:rPr>
        <w:t>星竞文化传媒有限公司</w:t>
      </w:r>
      <w:r>
        <w:rPr>
          <w:rFonts w:ascii="Times New Roman" w:cs="Times New Roman" w:eastAsia="Times New Roman" w:hAnsi="Times New Roman"/>
          <w:sz w:val="18"/>
          <w:szCs w:val="18"/>
          <w:color w:val="auto"/>
        </w:rPr>
        <w:t>), the VIE Company and other related parties dated 18 December 2020, (iii) the Shareholders’ Agreement (</w:t>
      </w:r>
      <w:r>
        <w:rPr>
          <w:rFonts w:ascii="SimSun" w:cs="SimSun" w:eastAsia="SimSun" w:hAnsi="SimSun"/>
          <w:sz w:val="18"/>
          <w:szCs w:val="18"/>
          <w:color w:val="auto"/>
        </w:rPr>
        <w:t>股东协议</w:t>
      </w:r>
      <w:r>
        <w:rPr>
          <w:rFonts w:ascii="Times New Roman" w:cs="Times New Roman" w:eastAsia="Times New Roman" w:hAnsi="Times New Roman"/>
          <w:sz w:val="18"/>
          <w:szCs w:val="18"/>
          <w:color w:val="auto"/>
        </w:rPr>
        <w:t>) of the VIE Company among its shareholders dated 18 December 2020, and (iv) the Supplemental Agreement Regarding the Reorganization among Tian Zeyuan (</w:t>
      </w:r>
      <w:r>
        <w:rPr>
          <w:rFonts w:ascii="SimSun" w:cs="SimSun" w:eastAsia="SimSun" w:hAnsi="SimSun"/>
          <w:sz w:val="18"/>
          <w:szCs w:val="18"/>
          <w:color w:val="auto"/>
        </w:rPr>
        <w:t>田泽园</w:t>
      </w:r>
      <w:r>
        <w:rPr>
          <w:rFonts w:ascii="Times New Roman" w:cs="Times New Roman" w:eastAsia="Times New Roman" w:hAnsi="Times New Roman"/>
          <w:sz w:val="18"/>
          <w:szCs w:val="18"/>
          <w:color w:val="auto"/>
        </w:rPr>
        <w:t>), the VIE Company and other related parties dated March 2021, under which the reserved equity securities of the VIE Company were continuously held by Shenzhen Weiwu Investment Partnership (Limited Partnership) (</w:t>
      </w:r>
      <w:r>
        <w:rPr>
          <w:rFonts w:ascii="SimSun" w:cs="SimSun" w:eastAsia="SimSun" w:hAnsi="SimSun"/>
          <w:sz w:val="18"/>
          <w:szCs w:val="18"/>
          <w:color w:val="auto"/>
        </w:rPr>
        <w:t>深圳市威武投资合伙企业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Such succeeded employee stock ownership plan of the VIE Company was then reflected and mirrored at the Company level during the "flip-over" and establishment of the VIE structure in accordance with the Reorganization Framework Agreement (</w:t>
      </w:r>
      <w:r>
        <w:rPr>
          <w:rFonts w:ascii="SimSun" w:cs="SimSun" w:eastAsia="SimSun" w:hAnsi="SimSun"/>
          <w:sz w:val="18"/>
          <w:szCs w:val="18"/>
          <w:color w:val="auto"/>
        </w:rPr>
        <w:t>重组框架协议</w:t>
      </w:r>
      <w:r>
        <w:rPr>
          <w:rFonts w:ascii="Times New Roman" w:cs="Times New Roman" w:eastAsia="Times New Roman" w:hAnsi="Times New Roman"/>
          <w:sz w:val="18"/>
          <w:szCs w:val="18"/>
          <w:color w:val="auto"/>
        </w:rPr>
        <w:t>) among the shareholders of the VIE Company and other related parties dated 18 June 2021, under which the reserved equity securities of the VIE Company held by Shenzhen Weiwu Investment Partnership (Limited Partnership) (</w:t>
      </w:r>
      <w:r>
        <w:rPr>
          <w:rFonts w:ascii="SimSun" w:cs="SimSun" w:eastAsia="SimSun" w:hAnsi="SimSun"/>
          <w:sz w:val="18"/>
          <w:szCs w:val="18"/>
          <w:color w:val="auto"/>
        </w:rPr>
        <w:t>深圳市威武投资合伙企业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(later renamed as Shenzhen Weiwu Corporate Management Partnership (Limited Partnership) (</w:t>
      </w:r>
      <w:r>
        <w:rPr>
          <w:rFonts w:ascii="SimSun" w:cs="SimSun" w:eastAsia="SimSun" w:hAnsi="SimSun"/>
          <w:sz w:val="18"/>
          <w:szCs w:val="18"/>
          <w:color w:val="auto"/>
        </w:rPr>
        <w:t>深圳市威武企业管理合伙企业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and Tianjin Weiwu Corporate Management Partnership (Limited Partnership) (</w:t>
      </w:r>
      <w:r>
        <w:rPr>
          <w:rFonts w:ascii="SimSun" w:cs="SimSun" w:eastAsia="SimSun" w:hAnsi="SimSun"/>
          <w:sz w:val="18"/>
          <w:szCs w:val="18"/>
          <w:color w:val="auto"/>
        </w:rPr>
        <w:t>天津威武企业管理合伙企业</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successively) were reflected as 4,123,826 Ordinary Shares held by the VE ESOP Platform.</w:t>
      </w:r>
    </w:p>
    <w:p>
      <w:pPr>
        <w:spacing w:after="0" w:line="200" w:lineRule="exact"/>
        <w:rPr>
          <w:sz w:val="20"/>
          <w:szCs w:val="20"/>
          <w:color w:val="auto"/>
        </w:rPr>
      </w:pPr>
    </w:p>
    <w:p>
      <w:pPr>
        <w:spacing w:after="0" w:line="230" w:lineRule="exact"/>
        <w:rPr>
          <w:sz w:val="20"/>
          <w:szCs w:val="20"/>
          <w:color w:val="auto"/>
        </w:rPr>
      </w:pPr>
    </w:p>
    <w:p>
      <w:pPr>
        <w:ind w:left="1105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00" w:name="page401"/>
    <w:bookmarkEnd w:id="400"/>
    <w:p>
      <w:pPr>
        <w:jc w:val="both"/>
        <w:ind w:left="660"/>
        <w:spacing w:after="0" w:line="273" w:lineRule="auto"/>
        <w:rPr>
          <w:sz w:val="20"/>
          <w:szCs w:val="20"/>
          <w:color w:val="auto"/>
        </w:rPr>
      </w:pPr>
      <w:r>
        <w:rPr>
          <w:rFonts w:ascii="Times New Roman" w:cs="Times New Roman" w:eastAsia="Times New Roman" w:hAnsi="Times New Roman"/>
          <w:sz w:val="17"/>
          <w:szCs w:val="17"/>
          <w:color w:val="auto"/>
        </w:rPr>
        <w:t>In addition to the Existing ESOP, the Company shall establish a new employee stock ownership plan or other similar arrangements, provided that any Securities issued pursuant to the New ESOP shall not exceed ten per cent (10%) of the then fully-diluted total issued share capital of the Company (the "</w:t>
      </w:r>
      <w:r>
        <w:rPr>
          <w:rFonts w:ascii="Times New Roman" w:cs="Times New Roman" w:eastAsia="Times New Roman" w:hAnsi="Times New Roman"/>
          <w:sz w:val="17"/>
          <w:szCs w:val="17"/>
          <w:b w:val="1"/>
          <w:bCs w:val="1"/>
          <w:color w:val="auto"/>
        </w:rPr>
        <w:t>New ESOP</w:t>
      </w:r>
      <w:r>
        <w:rPr>
          <w:rFonts w:ascii="Times New Roman" w:cs="Times New Roman" w:eastAsia="Times New Roman" w:hAnsi="Times New Roman"/>
          <w:sz w:val="17"/>
          <w:szCs w:val="17"/>
          <w:color w:val="auto"/>
        </w:rPr>
        <w:t>", collectively with the Existing ESOP, the "</w:t>
      </w:r>
      <w:r>
        <w:rPr>
          <w:rFonts w:ascii="Times New Roman" w:cs="Times New Roman" w:eastAsia="Times New Roman" w:hAnsi="Times New Roman"/>
          <w:sz w:val="17"/>
          <w:szCs w:val="17"/>
          <w:b w:val="1"/>
          <w:bCs w:val="1"/>
          <w:color w:val="auto"/>
        </w:rPr>
        <w:t>ESOP</w:t>
      </w:r>
      <w:r>
        <w:rPr>
          <w:rFonts w:ascii="Times New Roman" w:cs="Times New Roman" w:eastAsia="Times New Roman" w:hAnsi="Times New Roman"/>
          <w:sz w:val="17"/>
          <w:szCs w:val="17"/>
          <w:color w:val="auto"/>
        </w:rPr>
        <w:t>"). The terms and conditions (including any subsequent amendments thereof) of the New ESOP and any subsequent amendments of the Existing ESOP shall be approved by (i) such Preferred Shareholder(s) holding not less than two-thirds (2/3) of the total issued Preferred Shares and (ii) such Ordinary Shareholder(s) holding not less than two-thirds (2/3) of the total issued Ordinary Shares. Upon the establishment of the New ESOP, the respective percentage of shareholding held by the Shareholders in the Company shall be diluted on a pro-rata basis, provided that the holder of any shares issued pursuant to the ESOP shall have no voting rights.</w:t>
      </w:r>
    </w:p>
    <w:p>
      <w:pPr>
        <w:spacing w:after="0" w:line="171"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For the avoidance of doubt, (a) unless otherwise agreed by the Parties in writing, the Shareholders shall not be eligible for participation in the ESOP, (b) the grant status of the Existing ESOP shall be ratified and approved by: (i) such VE Financial Shareholders holding not less than two-thirds (2/3) of the total issued Preferred Shares held by all the VE Financial Shareholders and (ii) such VE Shareholders holding not less than two-thirds (2/3) of the total issued Ordinary Shares held by all the VE Shareholders (calculated on a fully diluted and as-converted basis), and (c) the VE Founder Parties shall have the power and authority to implement and administer the Existing ESOP, provided that in no event shall the Equity Ratio of the NIP Shareholders be diluted due to the implementation of the Existing ESOP (including any subsequent amendment thereof).</w:t>
      </w:r>
    </w:p>
    <w:p>
      <w:pPr>
        <w:spacing w:after="0" w:line="18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Subject to Clause 5.1 and 5.2 above, the VE Shareholders hereby agree that, if requested by any Government Authority or under any Applicable Laws, the Existing ESOP and related documents shall be amended and updated before the date of the Company’s first submission of its listing application form to the Qualified Exchange for a Qualified IPO.</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restriction on Transfers provided under Clause 11 shall not apply to any Transfer made for the purpose of implementing, or otherwise permitted under, an ESOP duly approved and amended from time to time in accordance with this Clause 5.</w:t>
      </w:r>
    </w:p>
    <w:p>
      <w:pPr>
        <w:spacing w:after="0" w:line="158" w:lineRule="exact"/>
        <w:rPr>
          <w:sz w:val="20"/>
          <w:szCs w:val="20"/>
          <w:color w:val="auto"/>
        </w:rPr>
      </w:pPr>
    </w:p>
    <w:p>
      <w:pPr>
        <w:ind w:left="640" w:hanging="632"/>
        <w:spacing w:after="0"/>
        <w:tabs>
          <w:tab w:leader="none" w:pos="6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of the Company</w:t>
      </w:r>
    </w:p>
    <w:p>
      <w:pPr>
        <w:spacing w:after="0" w:line="229"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total number of Board seats shall be eleven (11). Subject to Clause 6.5, the Board shall consist of five (5) VE Directors, four (4) NIP Directors and two (2) independent non-executive directors (each an "</w:t>
      </w:r>
      <w:r>
        <w:rPr>
          <w:rFonts w:ascii="Times New Roman" w:cs="Times New Roman" w:eastAsia="Times New Roman" w:hAnsi="Times New Roman"/>
          <w:sz w:val="18"/>
          <w:szCs w:val="18"/>
          <w:b w:val="1"/>
          <w:bCs w:val="1"/>
          <w:color w:val="auto"/>
        </w:rPr>
        <w:t>INED</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1" w:name="page402"/>
    <w:bookmarkEnd w:id="401"/>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Subject to Clauses 6.3(a), 6.4(a), and 6.5, as of the Effective Date, the Board shall consist of the following:</w:t>
      </w:r>
    </w:p>
    <w:p>
      <w:pPr>
        <w:spacing w:after="0" w:line="225"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VE Directors:</w:t>
      </w:r>
      <w:r>
        <w:rPr>
          <w:sz w:val="20"/>
          <w:szCs w:val="20"/>
          <w:color w:val="auto"/>
        </w:rPr>
        <w:tab/>
      </w:r>
      <w:r>
        <w:rPr>
          <w:rFonts w:ascii="Times New Roman" w:cs="Times New Roman" w:eastAsia="Times New Roman" w:hAnsi="Times New Roman"/>
          <w:sz w:val="17"/>
          <w:szCs w:val="17"/>
          <w:color w:val="auto"/>
        </w:rPr>
        <w:t>Mario Yau Kwan Ho;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Liwei Sun;</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Heng Tang;</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Yanjun Xu; 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Lei Zhang;</w:t>
      </w:r>
    </w:p>
    <w:p>
      <w:pPr>
        <w:spacing w:after="0" w:line="225"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NIP Directors:</w:t>
      </w:r>
      <w:r>
        <w:rPr>
          <w:sz w:val="20"/>
          <w:szCs w:val="20"/>
          <w:color w:val="auto"/>
        </w:rPr>
        <w:tab/>
      </w:r>
      <w:r>
        <w:rPr>
          <w:rFonts w:ascii="Times New Roman" w:cs="Times New Roman" w:eastAsia="Times New Roman" w:hAnsi="Times New Roman"/>
          <w:sz w:val="18"/>
          <w:szCs w:val="18"/>
          <w:color w:val="auto"/>
        </w:rPr>
        <w:t>Hicham Chahine;</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Thomas Neslein;</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Felix Granander; 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Andrew Reader;</w:t>
      </w:r>
    </w:p>
    <w:p>
      <w:pPr>
        <w:spacing w:after="0" w:line="225" w:lineRule="exact"/>
        <w:rPr>
          <w:sz w:val="20"/>
          <w:szCs w:val="20"/>
          <w:color w:val="auto"/>
        </w:rPr>
      </w:pPr>
    </w:p>
    <w:p>
      <w:pPr>
        <w:ind w:left="660"/>
        <w:spacing w:after="0"/>
        <w:tabs>
          <w:tab w:leader="none" w:pos="3220" w:val="left"/>
        </w:tabs>
        <w:rPr>
          <w:sz w:val="20"/>
          <w:szCs w:val="20"/>
          <w:color w:val="auto"/>
        </w:rPr>
      </w:pPr>
      <w:r>
        <w:rPr>
          <w:rFonts w:ascii="Times New Roman" w:cs="Times New Roman" w:eastAsia="Times New Roman" w:hAnsi="Times New Roman"/>
          <w:sz w:val="18"/>
          <w:szCs w:val="18"/>
          <w:color w:val="auto"/>
        </w:rPr>
        <w:t>INEDs:</w:t>
      </w:r>
      <w:r>
        <w:rPr>
          <w:sz w:val="20"/>
          <w:szCs w:val="20"/>
          <w:color w:val="auto"/>
        </w:rPr>
        <w:tab/>
      </w:r>
      <w:r>
        <w:rPr>
          <w:rFonts w:ascii="Times New Roman" w:cs="Times New Roman" w:eastAsia="Times New Roman" w:hAnsi="Times New Roman"/>
          <w:sz w:val="18"/>
          <w:szCs w:val="18"/>
          <w:color w:val="auto"/>
        </w:rPr>
        <w:t>Carter Jack Feldman; 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Hans Alesund.</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VE Shareholders shall, have the right to appoint up to five (5) Directors (collectively, the "</w:t>
      </w:r>
      <w:r>
        <w:rPr>
          <w:rFonts w:ascii="Times New Roman" w:cs="Times New Roman" w:eastAsia="Times New Roman" w:hAnsi="Times New Roman"/>
          <w:sz w:val="18"/>
          <w:szCs w:val="18"/>
          <w:b w:val="1"/>
          <w:bCs w:val="1"/>
          <w:color w:val="auto"/>
        </w:rPr>
        <w:t>VE Directors</w:t>
      </w:r>
      <w:r>
        <w:rPr>
          <w:rFonts w:ascii="Times New Roman" w:cs="Times New Roman" w:eastAsia="Times New Roman" w:hAnsi="Times New Roman"/>
          <w:sz w:val="18"/>
          <w:szCs w:val="18"/>
          <w:color w:val="auto"/>
        </w:rPr>
        <w:t>") and remove and/or replace any of the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VE Directors, provided that:</w:t>
      </w:r>
    </w:p>
    <w:p>
      <w:pPr>
        <w:spacing w:after="0" w:line="203" w:lineRule="exact"/>
        <w:rPr>
          <w:sz w:val="20"/>
          <w:szCs w:val="20"/>
          <w:color w:val="auto"/>
        </w:rPr>
      </w:pPr>
    </w:p>
    <w:p>
      <w:pPr>
        <w:jc w:val="both"/>
        <w:ind w:left="1280" w:hanging="624"/>
        <w:spacing w:after="0" w:line="268" w:lineRule="auto"/>
        <w:tabs>
          <w:tab w:leader="none" w:pos="12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Founder Holdcos collectively shall have the right to appoint three (3) VE Directors ("</w:t>
      </w:r>
      <w:r>
        <w:rPr>
          <w:rFonts w:ascii="Times New Roman" w:cs="Times New Roman" w:eastAsia="Times New Roman" w:hAnsi="Times New Roman"/>
          <w:sz w:val="18"/>
          <w:szCs w:val="18"/>
          <w:b w:val="1"/>
          <w:bCs w:val="1"/>
          <w:color w:val="auto"/>
        </w:rPr>
        <w:t>VE Founder Directors</w:t>
      </w:r>
      <w:r>
        <w:rPr>
          <w:rFonts w:ascii="Times New Roman" w:cs="Times New Roman" w:eastAsia="Times New Roman" w:hAnsi="Times New Roman"/>
          <w:sz w:val="18"/>
          <w:szCs w:val="18"/>
          <w:color w:val="auto"/>
        </w:rPr>
        <w:t>") (as well to remove and/or replace such VE Founder Directors) collectively (by simple majority vote according to their pro-rata shareholding) and decide in good faith as to the composition of the VE Founder Directors;</w:t>
      </w:r>
    </w:p>
    <w:p>
      <w:pPr>
        <w:spacing w:after="0" w:line="174"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two VE Financial Shareholders with largest shareholding of the Company among the VE Financial Shareholders (on a fully diluted and as-converted basis) shall have the right to appoint one (1) VE Director respectively ("</w:t>
      </w:r>
      <w:r>
        <w:rPr>
          <w:rFonts w:ascii="Times New Roman" w:cs="Times New Roman" w:eastAsia="Times New Roman" w:hAnsi="Times New Roman"/>
          <w:sz w:val="18"/>
          <w:szCs w:val="18"/>
          <w:b w:val="1"/>
          <w:bCs w:val="1"/>
          <w:color w:val="auto"/>
        </w:rPr>
        <w:t>VE Financial Directors</w:t>
      </w:r>
      <w:r>
        <w:rPr>
          <w:rFonts w:ascii="Times New Roman" w:cs="Times New Roman" w:eastAsia="Times New Roman" w:hAnsi="Times New Roman"/>
          <w:sz w:val="18"/>
          <w:szCs w:val="18"/>
          <w:color w:val="auto"/>
        </w:rPr>
        <w:t>") (as well to remove and/or replace such VE Financial Directors). For the avoidance of doubt, the other VE Financial Shareholders shall not have the right to appoint, remove and/or replace any Director;</w:t>
      </w:r>
    </w:p>
    <w:p>
      <w:pPr>
        <w:spacing w:after="0" w:line="179"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vacancy of VE Financial Directors, the VE Founders may collectively appoint such number of VE Director(s) such that, subject to Clause 6.5, the total number of VE Directors is maintained at five (5) at any given time;</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Shareholders shall effect the appointment or removal of any VE Directors by sending (i) a written notice to the Company at the Company's registered office address and (ii) a copy of such notice to the other Shareholders whose details are set out in Schedule 12;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 Shareholder shall indemnify the other Shareholders and the Company against any claim of damages, loss of office, wrongful dismissal or otherwise arising out of the removal or resignation of any VE Director which such VE Shareholder had nominated for appointment.</w:t>
      </w:r>
    </w:p>
    <w:p>
      <w:pPr>
        <w:spacing w:after="0" w:line="172"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NIP Shareholders shall, acting collectively, have the right to appoint up to four (4) Directors (collectively, the "</w:t>
      </w:r>
      <w:r>
        <w:rPr>
          <w:rFonts w:ascii="Times New Roman" w:cs="Times New Roman" w:eastAsia="Times New Roman" w:hAnsi="Times New Roman"/>
          <w:sz w:val="18"/>
          <w:szCs w:val="18"/>
          <w:b w:val="1"/>
          <w:bCs w:val="1"/>
          <w:color w:val="auto"/>
        </w:rPr>
        <w:t>NIP Directors</w:t>
      </w:r>
      <w:r>
        <w:rPr>
          <w:rFonts w:ascii="Times New Roman" w:cs="Times New Roman" w:eastAsia="Times New Roman" w:hAnsi="Times New Roman"/>
          <w:sz w:val="18"/>
          <w:szCs w:val="18"/>
          <w:color w:val="auto"/>
        </w:rPr>
        <w:t>") and remove and/or replace any of the NIP Directors, provided that:</w:t>
      </w:r>
    </w:p>
    <w:p>
      <w:pPr>
        <w:spacing w:after="0" w:line="159" w:lineRule="exact"/>
        <w:rPr>
          <w:sz w:val="20"/>
          <w:szCs w:val="20"/>
          <w:color w:val="auto"/>
        </w:rPr>
      </w:pPr>
    </w:p>
    <w:p>
      <w:pPr>
        <w:ind w:left="1280" w:right="20" w:hanging="624"/>
        <w:spacing w:after="0" w:line="282" w:lineRule="auto"/>
        <w:tabs>
          <w:tab w:leader="none" w:pos="128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discuss and collectively decide (by simple majority vote according to their pro-rata shareholding) in good faith as to the composition of the NIP Directors;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2" w:name="page403"/>
    <w:bookmarkEnd w:id="402"/>
    <w:p>
      <w:pPr>
        <w:jc w:val="both"/>
        <w:ind w:left="1280" w:hanging="624"/>
        <w:spacing w:after="0" w:line="266" w:lineRule="auto"/>
        <w:tabs>
          <w:tab w:leader="none" w:pos="12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acting collectively, effect the appointment or removal of any NIP Directors by sending (i) a written notice to the Company at the Company's registered office address and (ii) a copy of such notice to the other Shareholders whose details are set out in Schedule 12; and</w:t>
      </w:r>
    </w:p>
    <w:p>
      <w:pPr>
        <w:spacing w:after="0" w:line="17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Shareholders shall, jointly and severally, be responsible for and indemnify the other Shareholders and the Company against any claim of damages, loss of office, wrongful dismissal or otherwise arising out of the removal or resignation of any NIP Director.</w:t>
      </w:r>
    </w:p>
    <w:p>
      <w:pPr>
        <w:spacing w:after="0" w:line="162"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In the event that (i) the VE Shareholders collectively cease to hold more than forty-five percent (45%) of the total issued share capital of the Company, and/or (ii) the NIP Shareholders collectively cease to hold more than thirty percent (30%) of the total issued share capital of the Company, then such Shareholders with an Equity Ratio of not less than three percent (3%) each shall discuss and collectively decide (by simple majority vote according to their pro-rata shareholding, and calculated on a fully diluted and as-converted basis) in good faith as to the composition of the Board, provided that: (a) the VE Shareholders (acting collectively) shall in any event have the right to appoint at least four (4) VE Directors; and (b) the NIP Shareholders (acting collectively) shall in any event have the right to appoint at least three (3) NIP Directors.</w:t>
      </w:r>
    </w:p>
    <w:p>
      <w:pPr>
        <w:spacing w:after="0" w:line="187"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appointment of any INED is subject to the approval of such Shareholder(s) holding not less than two-thirds (2/3) of the total issued Shares in aggregate. Such VE Shareholders owning more than fifty percent (50%) of all VE Shares in aggregate shall be entitled to nominate one</w:t>
      </w:r>
    </w:p>
    <w:p>
      <w:pPr>
        <w:ind w:left="640" w:firstLine="2"/>
        <w:spacing w:after="0" w:line="260" w:lineRule="auto"/>
        <w:tabs>
          <w:tab w:leader="none" w:pos="90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 for appointment as INED, and such NIP Shareholders owning more than fifty percent (50%) of all NIP Shares in aggregate shall be entitled to nominate one (1) candidate for appointment as INED.</w:t>
      </w:r>
    </w:p>
    <w:p>
      <w:pPr>
        <w:spacing w:after="0" w:line="181"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One of the Directors, as selected by two-thirds (2/3) of the members of the Board, shall preside as the chairperson of meetings of the Board (the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for a term of three (3) years and shall serve consecutive terms as the Chairperson unless he/she is replaced by two-thirds (2/3) of the members of the Board. If the Chairperson is not present at any meeting of the Board, the Directors present may appoint another Director to act as Chairperson for the purposes of the meeting. The Chairperson from the date of this Agreement shall be Mario Ho. In the case of an equality of votes at any meeting of the Board, the Chairperson shall not have a second or casting vote.</w:t>
      </w:r>
    </w:p>
    <w:p>
      <w:pPr>
        <w:spacing w:after="0" w:line="183"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No person nominated for appointment as Director under this Clause 6 and no person acting as an alternate of any Director shall hold the position of, engage in or work for a Competitor (whether as a director, manager, key employee or other similar senior executive positions), unless:</w:t>
      </w:r>
    </w:p>
    <w:p>
      <w:pPr>
        <w:spacing w:after="0" w:line="162" w:lineRule="exact"/>
        <w:rPr>
          <w:sz w:val="20"/>
          <w:szCs w:val="20"/>
          <w:color w:val="auto"/>
        </w:rPr>
      </w:pPr>
    </w:p>
    <w:p>
      <w:pPr>
        <w:ind w:left="1280" w:hanging="624"/>
        <w:spacing w:after="0"/>
        <w:tabs>
          <w:tab w:leader="none" w:pos="12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Wuhan Douyu with respect to any work or engagement with a Wuhan Douyu Competitor;</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the Founder Parties with respect to any work or engagement with a Company Competitor;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consent has been obtained from the NIP Founder Parties with respect to any work or engagement with a NIP Competitor.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3" w:name="page404"/>
    <w:bookmarkEnd w:id="403"/>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Parties agree to take or procure all Necessary Actions be taken to keep the Board constituted in the manner provided under Clauses 6.1 to 6.8. Notwithstanding the foregoing, each Shareholder undertakes to the other Shareholders that it shall procure the removal of (i) any person nominated by such Shareholder for appointment as Director or (ii) any person acting as an alternate for a Director nominated by such Shareholder, in the event that such person shall become liable to be removed or disqualified as a Director or an alternate Director (as the case may be) in accordance with Applicable Laws.</w:t>
      </w:r>
    </w:p>
    <w:p>
      <w:pPr>
        <w:spacing w:after="0" w:line="183"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The Parties hereby agree that the composition of the Board set forth under Clauses 6.1 to 6.8 above shall be amended and restated before the date of the first submission of the listing application form to the Qualified Exchange for a Qualified IPO, and concurrently the new arrangement of the Board shall be approved subject and pursuant to relevant requirements and listing rules of the Qualified Exchange or in relation to the listing on the Qualified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229"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Meetings of the Board shall be properly convened and held at such times as may be determined by the Board (but in any event shall at least be held once every six (6) months). No Board meeting shall be convened on less than five (5) Business Days' notice unless at least one (1) VE Director and one (1) NIP Director agree to waive such notice period requirement in writing. Any notice of a Board meeting shall include an agenda identifying in reasonable detail the matters to be discussed at the meeting and shall be accompanied by any relevant papers to be discussed at the meeting.</w:t>
      </w:r>
    </w:p>
    <w:p>
      <w:pPr>
        <w:spacing w:after="0" w:line="183"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The quorum for meetings of the Board shall consist of seven (7) Directors, of whom at least four (4) shall be VE Directors (whom shall include Mario Ho) and three (3) shall be NIP Directors (whom shall include Hicham Chahine). No meeting of the Board may proceed nor transact any business unless a quorum is present at the start of and throughout such meeting. A Director shall be regarded as present for the purposes of a quorum if represented by an alternate. If within thirty (30) minutes of the time appointed for a meeting a quorum is not present, the meeting shall stand adjourned until the same time and place on the same day in the next week and if at such adjourned meeting a quorum is not present within twenty (20) minutes from the time appointed for such adjourned meeting (or such longer interval as the Chairperson of the meeting may think fit to allow), the attendance by five (5) Directors present in person or by his alternate shall constitute a quorum, provided that of whom two (2) shall be VE Directors (whom shall include Mario Ho) and two (2) shall be NIP Directors (whom shall include Hicham Chahine).</w:t>
      </w:r>
    </w:p>
    <w:p>
      <w:pPr>
        <w:spacing w:after="0" w:line="19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Meetings of the Board may be held at two (2) or more places using any technology that enables the Directors who are not together at the same place to listen, speak and vote at the meeting, and any Director shall be deemed to be present at such meeting if such Director (or his alternate) participates by telephone or other electronic means and all Directors participating in the meeting are able to hear one another.</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8"/>
          <w:szCs w:val="18"/>
          <w:color w:val="auto"/>
        </w:rPr>
        <w:t>If the Board so authorises or requests, auditors, consultants, advisers and employees shall be permitted to attend and speak at meetings of the Board, but not to vote.</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i w:val="1"/>
          <w:iCs w:val="1"/>
          <w:color w:val="auto"/>
        </w:rPr>
        <w:t>Power of the Board</w:t>
      </w:r>
    </w:p>
    <w:p>
      <w:pPr>
        <w:spacing w:after="0" w:line="22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6.15    Subject to Clause 7.6 and Applicable Laws, the Board shall have the power to manage the Group as it deems appropriate and be responsible for making decisions relating to the Business, save in respect of (a) the Shareholders Ordinary Matters and Shareholders Reserved Matters; and</w:t>
      </w:r>
    </w:p>
    <w:p>
      <w:pPr>
        <w:ind w:left="640" w:firstLine="2"/>
        <w:spacing w:after="0" w:line="260" w:lineRule="auto"/>
        <w:tabs>
          <w:tab w:leader="none" w:pos="911"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concerning the direction, management and day-to-day operation of the NIP Group Companies and the VE Group Companies which shall be managed in accordance with Clauses 6.22 to 6.23.</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Each Director is entitled to one (1) vote on all matters to be voted upon by the Board. Subject at all times to the quorum requirements set out in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Clause 6.11 and Applicable Laws:</w:t>
      </w:r>
    </w:p>
    <w:p>
      <w:pPr>
        <w:spacing w:after="0" w:line="207" w:lineRule="exact"/>
        <w:rPr>
          <w:sz w:val="20"/>
          <w:szCs w:val="20"/>
          <w:color w:val="auto"/>
        </w:rPr>
      </w:pPr>
    </w:p>
    <w:p>
      <w:pPr>
        <w:ind w:left="1280" w:right="20" w:hanging="624"/>
        <w:spacing w:after="0" w:line="282" w:lineRule="auto"/>
        <w:tabs>
          <w:tab w:leader="none" w:pos="12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Board Matter shall be approved at a duly convened Board meeting upon affirmative votes from a simple majority of the Directors who are present and eligible to vote; and</w:t>
      </w:r>
    </w:p>
    <w:p>
      <w:pPr>
        <w:spacing w:after="0" w:line="161"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Reserved Board Matter shall be approved at a duly convened Board meeting upon affirmative votes from not less than two-thirds (2/3) of the Directors who are present and eligible to vote.</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8"/>
          <w:szCs w:val="18"/>
          <w:color w:val="auto"/>
        </w:rPr>
        <w:t>Notwithstanding anything to the contrary in Clause 6.14, resolutions of the Board may be passed without a meeting by way of written resolutions, provided that, in respect of any written resolutions relating to:</w:t>
      </w:r>
    </w:p>
    <w:p>
      <w:pPr>
        <w:spacing w:after="0" w:line="162" w:lineRule="exact"/>
        <w:rPr>
          <w:sz w:val="20"/>
          <w:szCs w:val="20"/>
          <w:color w:val="auto"/>
        </w:rPr>
      </w:pPr>
    </w:p>
    <w:p>
      <w:pPr>
        <w:ind w:left="1280" w:hanging="624"/>
        <w:spacing w:after="0" w:line="282" w:lineRule="auto"/>
        <w:tabs>
          <w:tab w:leader="none" w:pos="12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Board Matter, such resolutions shall be approved and signed by a simple majority of all Directors (an alternate Director or a proxy being entitled to sign such resolution on behalf of his appointor) eligible to vote on such matters;</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Reserved Board Matter, such resolutions shall be approved and signed by not less than two-thirds (2/3) of all Directors (an alternate Director or a proxy being entitled to sign such resolution on behalf of his appointor) eligible to vote on such matters;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55" w:lineRule="auto"/>
        <w:tabs>
          <w:tab w:leader="none" w:pos="12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written resolutions shall be sent to each Director and shall require a response within a period specified in the notice of such resolution, being not less than ten (10) Business Days after its date of dispatch, or else it shall lapse, and no written resolutions (despite being duly signed by such number of Directors as required under Clauses 6.17(a) and/or (b), as applicable) shall take effect until the expiry of such period unless such notice period requirement has been waived by at least two (2) VE Directors (whom shall include Mario Ho), two</w:t>
      </w:r>
    </w:p>
    <w:p>
      <w:pPr>
        <w:spacing w:after="0" w:line="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NIP Directors (whom shall include Hicham Chahine), and one (1) INED.</w:t>
      </w:r>
    </w:p>
    <w:p>
      <w:pPr>
        <w:spacing w:after="0" w:line="207"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8"/>
          <w:szCs w:val="18"/>
          <w:color w:val="auto"/>
        </w:rPr>
        <w:t>To the extent that any Ordinary Board Matters or Reserved Board Matters are required by Applicable Laws to be approved by a resolution of the Shareholders, the Shareholders shall, insofar as it is legally permitted to do, take all Necessary Actions to vote in accordance with the recommendations set out in the resolutions duly passed by the Board in respect of such Ordinary Board Matters or Reserved Board Matters (as the case may be).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Alternate Directors</w:t>
      </w:r>
    </w:p>
    <w:p>
      <w:pPr>
        <w:spacing w:after="0" w:line="229"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8"/>
          <w:szCs w:val="18"/>
          <w:color w:val="auto"/>
        </w:rPr>
        <w:t>Subject to Applicable Laws and the terms of this Agreement, each Director may nominate any person to act as alternate Director in his place by way of written notice to the Company, and may remove such alternate Director at any time in the same manner. Such alternate Director shall be permitted to attend all Board meetings and to vote on behalf of such Director for whom he is serving as an alternate. The alternate Director shall (except as regards the power to appoint an alternate Director pursuant to this Clause 6.18) exercise and discharge all the functions, powers and duties of the Director he represents, and shall look solely to the Director he represents for remuneration (if any) for his services as an alternate Director. Every person acting as alternate Director shall have one vote for each Director for whom he acts as alternate (in addition to his own vote if he is also a Director). Any person appointed as an alternate Director shall vacate his office as such alternate Director if and when the Director by whom he has been appointed removes him or vacates office as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6.20</w:t>
      </w:r>
      <w:r>
        <w:rPr>
          <w:sz w:val="20"/>
          <w:szCs w:val="20"/>
          <w:color w:val="auto"/>
        </w:rPr>
        <w:tab/>
      </w:r>
      <w:r>
        <w:rPr>
          <w:rFonts w:ascii="Times New Roman" w:cs="Times New Roman" w:eastAsia="Times New Roman" w:hAnsi="Times New Roman"/>
          <w:sz w:val="18"/>
          <w:szCs w:val="18"/>
          <w:color w:val="auto"/>
        </w:rPr>
        <w:t>An individual nominated by the NIP Directors and an individual nominated by the VE Founders shall each be appointed as co-chief executive officer of the Company (collectively, the "</w:t>
      </w:r>
      <w:r>
        <w:rPr>
          <w:rFonts w:ascii="Times New Roman" w:cs="Times New Roman" w:eastAsia="Times New Roman" w:hAnsi="Times New Roman"/>
          <w:sz w:val="18"/>
          <w:szCs w:val="18"/>
          <w:b w:val="1"/>
          <w:bCs w:val="1"/>
          <w:color w:val="auto"/>
        </w:rPr>
        <w:t>CEOs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Co-CEO</w:t>
      </w:r>
      <w:r>
        <w:rPr>
          <w:rFonts w:ascii="Times New Roman" w:cs="Times New Roman" w:eastAsia="Times New Roman" w:hAnsi="Times New Roman"/>
          <w:sz w:val="18"/>
          <w:szCs w:val="18"/>
          <w:color w:val="auto"/>
        </w:rPr>
        <w:t>"). As of the Effective Date, the Co-CEO nominated by the NIP Directors shall be Hicham Chahine and the Co-CEO nominated by the VE Founders shall be Mario Ho. The Shareholders shall use all Necessary Actions to procure the appointment of the CEOs in accordance with this Clause 6.19.</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Hicham Chahine, in his capacity as a Co-CEO shall be responsible for the day-to day operations and management of the NIP Group Companies, and Mario Ho, in his capacity as a Co-CEO shall be responsible for the day-to day operations and management of the VE Group Companies. The CEOs shall collectively be responsible for the overall management of the Company, under the supervision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of other Group Companies</w:t>
      </w:r>
    </w:p>
    <w:p>
      <w:pPr>
        <w:spacing w:after="0" w:line="229"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For the avoidance of doubt, the board of directors of a NIP Group Company or a VE Group Company shall not be subject to the requirements with respect to the composition and proceedings of the Board under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color w:val="auto"/>
        </w:rPr>
        <w:t>Subject always to the Requisite Approvals, with respect to a VE Group Company or a NIP Group Company:</w:t>
      </w:r>
    </w:p>
    <w:p>
      <w:pPr>
        <w:spacing w:after="0" w:line="225" w:lineRule="exact"/>
        <w:rPr>
          <w:sz w:val="20"/>
          <w:szCs w:val="20"/>
          <w:color w:val="auto"/>
        </w:rPr>
      </w:pPr>
    </w:p>
    <w:p>
      <w:pPr>
        <w:ind w:left="1280" w:right="20" w:hanging="624"/>
        <w:spacing w:after="0" w:line="282" w:lineRule="auto"/>
        <w:tabs>
          <w:tab w:leader="none" w:pos="12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eligible for determination by director(s) under Applicable Laws shall be approved by the director(s) of such VE Group Company or NIP Group Company (as the case maybe) in accordance with its articles and Applicable Laws;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required to be approved and determined by shareholder(s) under Applicable Laws shall be approved by (i) a simple majority of the Directors as an Ordinary Board Matter in accordance with Clause 6.15(a) or 6.16(a); and (ii) the shareholder(s) of such VE Group Company or NIP Group Company (as the case may be) in accordance with its articles and Applicable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to appointing Shareholder(s)</w:t>
      </w:r>
    </w:p>
    <w:p>
      <w:pPr>
        <w:spacing w:after="0" w:line="227" w:lineRule="exact"/>
        <w:rPr>
          <w:sz w:val="20"/>
          <w:szCs w:val="20"/>
          <w:color w:val="auto"/>
        </w:rPr>
      </w:pPr>
    </w:p>
    <w:p>
      <w:pPr>
        <w:jc w:val="both"/>
        <w:ind w:left="640" w:hanging="633"/>
        <w:spacing w:after="0" w:line="267" w:lineRule="auto"/>
        <w:tabs>
          <w:tab w:leader="none" w:pos="620"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color w:val="auto"/>
        </w:rPr>
        <w:t>Subject to Clause 21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and Applicable Laws, a Director (or his alternate) nominated for appointment by one or more Shareholder(s) shall be entitled to provide to such appointing Shareholder(s) any information concerning the Group obtained by him in his capacity as a Director.</w:t>
      </w:r>
    </w:p>
    <w:p>
      <w:pPr>
        <w:spacing w:after="0" w:line="39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6" w:name="page407"/>
    <w:bookmarkEnd w:id="406"/>
    <w:p>
      <w:pPr>
        <w:ind w:left="640" w:hanging="632"/>
        <w:spacing w:after="0"/>
        <w:tabs>
          <w:tab w:leader="none" w:pos="640"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meetings</w:t>
      </w:r>
    </w:p>
    <w:p>
      <w:pPr>
        <w:spacing w:after="0" w:line="229"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quorum for any meeting of Shareholders shall consist of such Shareholder(s) holding not less than two-thirds (2/3) of the total issued Shares in aggregate, whether present in person or by proxy or representative, provided that such Shareholders present shall include at least one (1) NIP Founder Holdco and at least one (1) VE Founder Holdco. No meeting of the Shareholders may proceed nor transact any business unless a quorum is present at the start of and throughout such meeting. If within twenty (20) minutes of the time appointed for a meeting a quorum is not present, the meeting shall stand adjourned until the same time and place on the same day in the next week and if at such adjourned meeting a quorum is not present within twenty (20) minutes from the time appointed for such adjourned meeting (or such longer interval as the Shareholders present may unanimously agree), the attendance by such Shareholders holding more than fifty-percent (50%) of the total issued Shares in aggregate (whether present in person or by proxy or representative) shall constitute a quorum, provided that such Shareholders present shall include at least one</w:t>
      </w:r>
    </w:p>
    <w:p>
      <w:pPr>
        <w:spacing w:after="0" w:line="1" w:lineRule="exact"/>
        <w:rPr>
          <w:sz w:val="20"/>
          <w:szCs w:val="20"/>
          <w:color w:val="auto"/>
        </w:rPr>
      </w:pPr>
    </w:p>
    <w:p>
      <w:pPr>
        <w:jc w:val="both"/>
        <w:ind w:left="640" w:firstLine="2"/>
        <w:spacing w:after="0" w:line="255" w:lineRule="auto"/>
        <w:tabs>
          <w:tab w:leader="none" w:pos="91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NIP Founder Holdco and at least one (1) VE Founder Holdco. The Shareholders present shall determine a Shareholder's representative who shall preside as chairman of shareholders' meeting at the start of the same, but such chairman shall not have a casting vote in case of an equality of votes.</w:t>
      </w:r>
    </w:p>
    <w:p>
      <w:pPr>
        <w:spacing w:after="0" w:line="186"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Board may convene any meeting of Shareholders whenever it may deem fit, subject to and in accordance with Applicable Laws and the Articles. Unless otherwise required under Applicable Laws, each Shareholder shall be given not less than twenty-one (21) days' written notice of annual general meetings and not less than fourteen (14) days' written notice of all other meetings of Shareholders (or to the extent legally permitted, such shorter notice period in respect of any particular meeting as may be agreed in writing by all the Shareholders entitled to participate in such meeting) specifying the date, time and place of the meeting and the business to be transacted thereat shall be given to each Shareholder.</w:t>
      </w:r>
    </w:p>
    <w:p>
      <w:pPr>
        <w:spacing w:after="0" w:line="183"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Meetings of the Shareholders may be held at two (2) or more places using any technology that enables the Shareholders who are not together at the same place to listen, speak and vote at the meeting, and a Shareholder shall be deemed to be present at such meeting if such Shareholder (or its proxy or representative) participates by telephone or other electronic means and all Shareholders participating in the meeting are able to hear one another.</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Any resolution put to the vote at a Shareholders' meeting shall be decided on a poll, such that every Shareholder present (whether in person or by proxy or representative) shall have one vote for every Share (whether an Ordinary Share or a Preferred Share) of which he is a holder. Subject at all times to the quorum requirements set out in Clause 7.1 and Applicable Laws:</w:t>
      </w:r>
    </w:p>
    <w:p>
      <w:pPr>
        <w:spacing w:after="0" w:line="176" w:lineRule="exact"/>
        <w:rPr>
          <w:sz w:val="20"/>
          <w:szCs w:val="20"/>
          <w:color w:val="auto"/>
        </w:rPr>
      </w:pPr>
    </w:p>
    <w:p>
      <w:pPr>
        <w:ind w:left="1280" w:hanging="624"/>
        <w:spacing w:after="0" w:line="282" w:lineRule="auto"/>
        <w:tabs>
          <w:tab w:leader="none" w:pos="12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Ordinary Matter shall be approved at a duly convened Shareholders' meeting by a simple majority of the total voting rights present at the meeting and entitled to be cast on such resolution; and</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Reserved Matter shall be approved at a duly convened Shareholders' meeting by not less than two-thirds (2/3) of the total voting rights present at the meeting and entitled to be cast on such resolution.</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Resolutions of the Shareholders may be passed without a meeting by way of written resolutions, if they have been approved in writing by all of the Shareholders entitled to vote at a general meeting of the Company.</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7" w:name="page408"/>
    <w:bookmarkEnd w:id="407"/>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As a separate and independent undertaking to the Shareholders, the Company agrees that, to the extent permissible by Applicable Laws, it shall not carry out any Ordinary Board Matters, Reserved Board Matters, Shareholders Ordinary Matters and/or Shareholders Reserved Matters without the Requisite Approvals.</w:t>
      </w:r>
    </w:p>
    <w:p>
      <w:pPr>
        <w:spacing w:after="0" w:line="172" w:lineRule="exact"/>
        <w:rPr>
          <w:sz w:val="20"/>
          <w:szCs w:val="20"/>
          <w:color w:val="auto"/>
        </w:rPr>
      </w:pPr>
    </w:p>
    <w:p>
      <w:pPr>
        <w:ind w:left="640" w:hanging="632"/>
        <w:spacing w:after="0"/>
        <w:tabs>
          <w:tab w:leader="none" w:pos="64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Save in relation to the NIP Share Distribution or the NIP Dividend Distribution, distributions to be made to the Shareholders shall be pro-rated based on their respective Equity Ratio, subject to any Applicable Laws, the Requisite Approvals, and any agreement or restriction binding the Group.</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obligations of Shareholders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Each Shareholder shall exercise or refrain from exercising any voting rights or other powers of control so as to ensure the passing of any and every resolution necessary or desirable to procure that the affairs of the Group are conducted in accordance with the provisions of this Agreement and otherwise to give full effect to the provisions of this Agreement and likewise to ensure that no resolution is passed which does not accord with such provisions.</w:t>
      </w:r>
    </w:p>
    <w:p>
      <w:pPr>
        <w:spacing w:after="0" w:line="180"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Each Shareholder agrees with the other to exercise its rights and powers to ensure that the business of the Group is conducted in accordance with all Applicable Laws, sound international business principles and the highest ethical standards.</w:t>
      </w:r>
    </w:p>
    <w:p>
      <w:pPr>
        <w:spacing w:after="0" w:line="16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All dealings between the Group and the Shareholders or their Affiliates shall (subject to this Agreement) be on a fair and equitable basis both as regards the interests of the Shareholders and the transaction and the balancing of the interests of the Shareholders and their Affiliates.</w:t>
      </w:r>
    </w:p>
    <w:p>
      <w:pPr>
        <w:spacing w:after="0" w:line="16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Each Founder Holdco shall promptly notify the other and the Company of all matters coming to its notice which may affect the title to or enjoyment of the Group's premises, assets or property, and of all significant notifications, orders, demands and other communications received from any Government Authority in relation to the Group's business, assets or property.</w:t>
      </w:r>
    </w:p>
    <w:p>
      <w:pPr>
        <w:spacing w:after="0" w:line="172" w:lineRule="exact"/>
        <w:rPr>
          <w:sz w:val="20"/>
          <w:szCs w:val="20"/>
          <w:color w:val="auto"/>
        </w:rPr>
      </w:pPr>
    </w:p>
    <w:p>
      <w:pPr>
        <w:ind w:left="640" w:hanging="632"/>
        <w:spacing w:after="0"/>
        <w:tabs>
          <w:tab w:leader="none" w:pos="64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Securities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shall not issue any Securities in respect of which the Parties have not complied with the provisions of this Clause 10.</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rights of the Preferred Shareholders under this Clause 10 shall terminate upon the consummation of the Qualified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of Preferred Shareholders</w:t>
      </w:r>
    </w:p>
    <w:p>
      <w:pPr>
        <w:spacing w:after="0" w:line="229"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Subject to any Requisite Approvals, Clause 10.12, and compliance with all Applicable Laws, if the Company proposes to issue new Securities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to any person, then the Company shall first comply with the provisions of this Clause 10.</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8" w:name="page409"/>
    <w:bookmarkEnd w:id="408"/>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Company shall, not less than fifteen (15) Business Days prior to the proposed date of issuing any New Securities, serve a notice ("</w:t>
      </w:r>
      <w:r>
        <w:rPr>
          <w:rFonts w:ascii="Times New Roman" w:cs="Times New Roman" w:eastAsia="Times New Roman" w:hAnsi="Times New Roman"/>
          <w:sz w:val="18"/>
          <w:szCs w:val="18"/>
          <w:b w:val="1"/>
          <w:bCs w:val="1"/>
          <w:color w:val="auto"/>
        </w:rPr>
        <w:t>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each Preferred Shareholder (but not the Ordinary Shareholders, for the avoidance of doubt) specifying:</w:t>
      </w:r>
    </w:p>
    <w:p>
      <w:pPr>
        <w:spacing w:after="0" w:line="159" w:lineRule="exact"/>
        <w:rPr>
          <w:sz w:val="20"/>
          <w:szCs w:val="20"/>
          <w:color w:val="auto"/>
        </w:rPr>
      </w:pPr>
    </w:p>
    <w:p>
      <w:pPr>
        <w:ind w:left="1280" w:hanging="624"/>
        <w:spacing w:after="0"/>
        <w:tabs>
          <w:tab w:leader="none" w:pos="12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terms of the issue of New Securities, including the issue price (or the means by which the price will be calculated);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New Securities to be issued;</w:t>
      </w:r>
    </w:p>
    <w:p>
      <w:pPr>
        <w:spacing w:after="0" w:line="221" w:lineRule="exact"/>
        <w:rPr>
          <w:rFonts w:ascii="Times New Roman" w:cs="Times New Roman" w:eastAsia="Times New Roman" w:hAnsi="Times New Roman"/>
          <w:sz w:val="18"/>
          <w:szCs w:val="18"/>
          <w:color w:val="auto"/>
        </w:rPr>
      </w:pPr>
    </w:p>
    <w:p>
      <w:pPr>
        <w:ind w:left="1280" w:right="20" w:hanging="624"/>
        <w:spacing w:after="0" w:line="286" w:lineRule="auto"/>
        <w:tabs>
          <w:tab w:leader="none" w:pos="12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Securities for which the Preferred Shareholder is entitled to subscribe based on its then Equity Ratio ("</w:t>
      </w:r>
      <w:r>
        <w:rPr>
          <w:rFonts w:ascii="Times New Roman" w:cs="Times New Roman" w:eastAsia="Times New Roman" w:hAnsi="Times New Roman"/>
          <w:sz w:val="18"/>
          <w:szCs w:val="18"/>
          <w:b w:val="1"/>
          <w:bCs w:val="1"/>
          <w:color w:val="auto"/>
        </w:rPr>
        <w:t>Pro-Rata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allocation of New Securities shall take place in accordance with this Agreement.</w:t>
      </w:r>
    </w:p>
    <w:p>
      <w:pPr>
        <w:spacing w:after="0" w:line="221"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Within fifteen (15) Business Days after the date of the Issue Notice ("</w:t>
      </w:r>
      <w:r>
        <w:rPr>
          <w:rFonts w:ascii="Times New Roman" w:cs="Times New Roman" w:eastAsia="Times New Roman" w:hAnsi="Times New Roman"/>
          <w:sz w:val="18"/>
          <w:szCs w:val="18"/>
          <w:b w:val="1"/>
          <w:bCs w:val="1"/>
          <w:color w:val="auto"/>
        </w:rPr>
        <w:t>Subscription Period</w:t>
      </w:r>
      <w:r>
        <w:rPr>
          <w:rFonts w:ascii="Times New Roman" w:cs="Times New Roman" w:eastAsia="Times New Roman" w:hAnsi="Times New Roman"/>
          <w:sz w:val="18"/>
          <w:szCs w:val="18"/>
          <w:color w:val="auto"/>
        </w:rPr>
        <w:t>"), a Preferred Shareholder may exercise its right to subscribe (or to nominate its Affiliates to subscribe, provided that such Affiliate is not a Sanctioned Person or a Competitor) for any number of New Securities up to such Preferred Shareholder's Pro-Rata Share by way of written notice to the Company. If a Preferred Shareholder has not given notice before the expiry of the Subscription Period, then it shall have no further right to subscribe for the New Securities.</w:t>
      </w:r>
    </w:p>
    <w:p>
      <w:pPr>
        <w:spacing w:after="0" w:line="180"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If any Preferred Shareholder fails or declines to exercise its pre-emptive right in full in accordance with Clause 10.5 above, on the next Business Day following the expiry of the Subscription Period, the Company shall give written notice to each Preferred Shareholder who exercised its pre-emptive rights in full (each, an "</w:t>
      </w:r>
      <w:r>
        <w:rPr>
          <w:rFonts w:ascii="Times New Roman" w:cs="Times New Roman" w:eastAsia="Times New Roman" w:hAnsi="Times New Roman"/>
          <w:sz w:val="18"/>
          <w:szCs w:val="18"/>
          <w:b w:val="1"/>
          <w:bCs w:val="1"/>
          <w:color w:val="auto"/>
        </w:rPr>
        <w:t>Oversubscription Shareholder</w:t>
      </w:r>
      <w:r>
        <w:rPr>
          <w:rFonts w:ascii="Times New Roman" w:cs="Times New Roman" w:eastAsia="Times New Roman" w:hAnsi="Times New Roman"/>
          <w:sz w:val="18"/>
          <w:szCs w:val="18"/>
          <w:color w:val="auto"/>
        </w:rPr>
        <w:t>") in writing of any New Securities not being subscribed by the other Preferred Shareholder(s) pursuant to Clause 10.5 ("</w:t>
      </w:r>
      <w:r>
        <w:rPr>
          <w:rFonts w:ascii="Times New Roman" w:cs="Times New Roman" w:eastAsia="Times New Roman" w:hAnsi="Times New Roman"/>
          <w:sz w:val="18"/>
          <w:szCs w:val="18"/>
          <w:b w:val="1"/>
          <w:bCs w:val="1"/>
          <w:color w:val="auto"/>
        </w:rPr>
        <w:t>Remaining New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Within five (5) Business Days after the receipt of the written notice issued by the Company pursuant to Clause 10.6, each Oversubscription Shareholder may exercise its right to subscribe for the Remaining New Securities by giving written notice to the Company of the number of Remaining New Securities for which it wishes to subscribe.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As soon as reasonably practicable after the determination of the allocation of the New Securities pursuant to Clauses 10.4 to 10.7, the Company shall deliver to each Preferred Shareholder a written notice setting out the number of New Securities that each Preferred Shareholder has been allocated for subscription and the relevant subscription amount ("</w:t>
      </w:r>
      <w:r>
        <w:rPr>
          <w:rFonts w:ascii="Times New Roman" w:cs="Times New Roman" w:eastAsia="Times New Roman" w:hAnsi="Times New Roman"/>
          <w:sz w:val="18"/>
          <w:szCs w:val="18"/>
          <w:b w:val="1"/>
          <w:bCs w:val="1"/>
          <w:color w:val="auto"/>
        </w:rPr>
        <w:t>Allocation Notice</w:t>
      </w:r>
      <w:r>
        <w:rPr>
          <w:rFonts w:ascii="Times New Roman" w:cs="Times New Roman" w:eastAsia="Times New Roman" w:hAnsi="Times New Roman"/>
          <w:sz w:val="18"/>
          <w:szCs w:val="18"/>
          <w:color w:val="auto"/>
        </w:rPr>
        <w:t>"), then:</w:t>
      </w:r>
    </w:p>
    <w:p>
      <w:pPr>
        <w:spacing w:after="0" w:line="176" w:lineRule="exact"/>
        <w:rPr>
          <w:sz w:val="20"/>
          <w:szCs w:val="20"/>
          <w:color w:val="auto"/>
        </w:rPr>
      </w:pPr>
    </w:p>
    <w:p>
      <w:pPr>
        <w:ind w:left="1280" w:hanging="624"/>
        <w:spacing w:after="0"/>
        <w:tabs>
          <w:tab w:leader="none" w:pos="12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Shareholder shall pay to the Company the subscription monies for the New Securities by the later of:</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set out in the Allocation Notice; and</w:t>
      </w:r>
    </w:p>
    <w:p>
      <w:pPr>
        <w:spacing w:after="0" w:line="225"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mandatory Authorizations have been obtained by the Company for the issuance of the New Securities (or the applicable waiting periods for those approvals having expired); and</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9" w:name="page410"/>
    <w:bookmarkEnd w:id="409"/>
    <w:p>
      <w:pPr>
        <w:ind w:left="1280" w:hanging="624"/>
        <w:spacing w:after="0" w:line="282" w:lineRule="auto"/>
        <w:tabs>
          <w:tab w:leader="none" w:pos="1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receipt of the subscription monies, the Company shall issue share certificates and procure the register of members to be updated for the New Securities.</w:t>
      </w:r>
    </w:p>
    <w:p>
      <w:pPr>
        <w:spacing w:after="0" w:line="162"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If any Preferred Shareholder (including any Oversubscription Shareholder) declines or fails to complete the exercise of its pre-emptive rights in full within the respective time periods specified in Clauses 10.5 and 10.7, the rights of such Preferred Shareholder to subscribe for such New Securities shall be extinguished and the Board shall have the discretion to allot and issue such New Securities (to which such Preferred Shareholder has declined or failed to complete the exercise of its pre-emptive rights under Clauses 10.5 and 10.7) to Qualified Third Parties on such terms and conditions to be decided by the Board provided that such issuance of the New Securities to such Qualified Third Party shall be on the same or higher price and on the same terms and conditions as set out in the Issue Notice. Such Qualified Third Party must also agree in writing to be bound by the terms and conditions of this Agreement as a Shareholder by validly executing the Deed of Adherence.</w:t>
      </w:r>
    </w:p>
    <w:p>
      <w:pPr>
        <w:spacing w:after="0" w:line="18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10.10</w:t>
        <w:tab/>
        <w:t>In the event that the Company has not issued such New Securities within one hundred and twenty days (120) days of the Issue Notice, then the Company shall not thereafter issue or sell any New Securities without again first offering such New Securities to the Preferred Shareholders pursuant to this Clause 10.</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10.11</w:t>
        <w:tab/>
        <w:t>For the avoidance of doubt, the pre-emptive rights set out in Clauses 10.3 to 10.10 apply in respect of any issuance of New Securities, whether to existing Shareholders or to any other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Exceptions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Clauses 10.4 to 10.11 do not apply to an issuance of:</w:t>
      </w:r>
    </w:p>
    <w:p>
      <w:pPr>
        <w:spacing w:after="0" w:line="225" w:lineRule="exact"/>
        <w:rPr>
          <w:sz w:val="20"/>
          <w:szCs w:val="20"/>
          <w:color w:val="auto"/>
        </w:rPr>
      </w:pPr>
    </w:p>
    <w:p>
      <w:pPr>
        <w:ind w:left="1280" w:hanging="624"/>
        <w:spacing w:after="0"/>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Shares;</w:t>
      </w:r>
    </w:p>
    <w:p>
      <w:pPr>
        <w:spacing w:after="0" w:line="22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are approved by way of unanimous approval by all Shareholders to be issued other than in accordance with this Clause 10;</w:t>
      </w:r>
    </w:p>
    <w:p>
      <w:pPr>
        <w:spacing w:after="0" w:line="161"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granted in order for the Company to comply with its obligations under the Articles or this Agreement (including as required under Applicable Laws);</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constituting all or part of the consideration for either a bona-fide acquisition of assets or business by the Group duly approved by way of the Requisite Approvals;</w:t>
      </w:r>
    </w:p>
    <w:p>
      <w:pPr>
        <w:spacing w:after="0" w:line="161"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to officers, directors, employees and consultants of the Company pursuant to the ESOP or other employee ownership plan or similar arrangements approved in accordance with this Agreement;</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in connection with any share split, subdivision, share dividend, reclassification or other similar event duly approved by the Company in accordance with this Agreement and the Articles;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accordance with Clause 15; and</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connection with the implementation of the Restructuring Plan, subject always to the Requisite Approvals (which consent from the relevant Directors and/or Shareholders shall not be unreasonably withheld or delayed); and</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0" w:name="page411"/>
    <w:bookmarkEnd w:id="410"/>
    <w:p>
      <w:pPr>
        <w:jc w:val="both"/>
        <w:ind w:left="1280" w:hanging="624"/>
        <w:spacing w:after="0" w:line="261" w:lineRule="auto"/>
        <w:tabs>
          <w:tab w:leader="none" w:pos="12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issuable in connection with the proposed acquisition of Blonde INC AB (or any of its Affiliates) or Nmbrs Production AB (or any of its Affiliates) by Ninjas in Pyjamas Gaming AB (for the avoidance of doubt, the Equity Ratio of the VE Shareholders shall not be diluted due to the implementation of such acquisition), subject always to the Requisite Approvals (which consent from the relevant Directors and/or Shareholders shall not be unreasonably withheld or delayed).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10.13</w:t>
        <w:tab/>
        <w:t>Unless otherwise approved in advance by (a) such Class A Preferred Shareholder(s) holding not less than two-thirds (2/3) of the total issued Class A Preferred Shares and (b) such Class B-1 Preferred Shareholders holding not less than two-thirds (2/3) of the total issued Class B-1 Preferred Shares, the Company shall not issue or sell any New Securities (whether to an existing Shareholder or a Qualified Third Party) either</w:t>
      </w:r>
    </w:p>
    <w:p>
      <w:pPr>
        <w:spacing w:after="0" w:line="1" w:lineRule="exact"/>
        <w:rPr>
          <w:sz w:val="20"/>
          <w:szCs w:val="20"/>
          <w:color w:val="auto"/>
        </w:rPr>
      </w:pPr>
    </w:p>
    <w:p>
      <w:pPr>
        <w:jc w:val="both"/>
        <w:ind w:left="640" w:firstLine="2"/>
        <w:spacing w:after="0" w:line="255" w:lineRule="auto"/>
        <w:tabs>
          <w:tab w:leader="none" w:pos="862"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consideration or (ii) for a consideration per Share lower than the Initial Subscription Price with respect to each Preferred Share of any Preferred Shareholder (the "</w:t>
      </w:r>
      <w:r>
        <w:rPr>
          <w:rFonts w:ascii="Times New Roman" w:cs="Times New Roman" w:eastAsia="Times New Roman" w:hAnsi="Times New Roman"/>
          <w:sz w:val="18"/>
          <w:szCs w:val="18"/>
          <w:b w:val="1"/>
          <w:bCs w:val="1"/>
          <w:color w:val="auto"/>
        </w:rPr>
        <w:t>Subscription Unit Price</w:t>
      </w:r>
      <w:r>
        <w:rPr>
          <w:rFonts w:ascii="Times New Roman" w:cs="Times New Roman" w:eastAsia="Times New Roman" w:hAnsi="Times New Roman"/>
          <w:sz w:val="18"/>
          <w:szCs w:val="18"/>
          <w:color w:val="auto"/>
        </w:rPr>
        <w:t>"), and no New Securities shall be issued for a consideration which is less than the nominal value per Share.</w:t>
      </w:r>
    </w:p>
    <w:p>
      <w:pPr>
        <w:spacing w:after="0" w:line="186"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10.14</w:t>
        <w:tab/>
        <w:t>In the event that, in any subsequent equity financing, the Company issues New Securities at a price less than the Subscription Unit Price (the calculation formula as set forth in Clause 10.15 below) (the "</w:t>
      </w:r>
      <w:r>
        <w:rPr>
          <w:rFonts w:ascii="Times New Roman" w:cs="Times New Roman" w:eastAsia="Times New Roman" w:hAnsi="Times New Roman"/>
          <w:sz w:val="18"/>
          <w:szCs w:val="18"/>
          <w:b w:val="1"/>
          <w:bCs w:val="1"/>
          <w:color w:val="auto"/>
        </w:rPr>
        <w:t>Lower Unit Price</w:t>
      </w:r>
      <w:r>
        <w:rPr>
          <w:rFonts w:ascii="Times New Roman" w:cs="Times New Roman" w:eastAsia="Times New Roman" w:hAnsi="Times New Roman"/>
          <w:sz w:val="18"/>
          <w:szCs w:val="18"/>
          <w:color w:val="auto"/>
        </w:rPr>
        <w:t>"; except in the case of New Securities issued in connection with the implementation of the ESOP or any anti-dilution adjustment), the Preferred Shareholders (the "</w:t>
      </w:r>
      <w:r>
        <w:rPr>
          <w:rFonts w:ascii="Times New Roman" w:cs="Times New Roman" w:eastAsia="Times New Roman" w:hAnsi="Times New Roman"/>
          <w:sz w:val="18"/>
          <w:szCs w:val="18"/>
          <w:b w:val="1"/>
          <w:bCs w:val="1"/>
          <w:color w:val="auto"/>
        </w:rPr>
        <w:t>Anti-Dilution Right Holders</w:t>
      </w:r>
      <w:r>
        <w:rPr>
          <w:rFonts w:ascii="Times New Roman" w:cs="Times New Roman" w:eastAsia="Times New Roman" w:hAnsi="Times New Roman"/>
          <w:sz w:val="18"/>
          <w:szCs w:val="18"/>
          <w:color w:val="auto"/>
        </w:rPr>
        <w:t>") shall have the right to request the Company and the VE Founders to exercise an anti-dilution adjustment as set forth in Clauses 10.14 to 10.16 (the "</w:t>
      </w:r>
      <w:r>
        <w:rPr>
          <w:rFonts w:ascii="Times New Roman" w:cs="Times New Roman" w:eastAsia="Times New Roman" w:hAnsi="Times New Roman"/>
          <w:sz w:val="18"/>
          <w:szCs w:val="18"/>
          <w:b w:val="1"/>
          <w:bCs w:val="1"/>
          <w:color w:val="auto"/>
        </w:rPr>
        <w:t>Anti-Dilution Claim</w:t>
      </w:r>
      <w:r>
        <w:rPr>
          <w:rFonts w:ascii="Times New Roman" w:cs="Times New Roman" w:eastAsia="Times New Roman" w:hAnsi="Times New Roman"/>
          <w:sz w:val="18"/>
          <w:szCs w:val="18"/>
          <w:color w:val="auto"/>
        </w:rPr>
        <w:t>"). For the avoidance of doubt, the VE Founder Parties are not Anti-Dilution Rights Holders and shall not have the right to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anti-dilution adjustments provided herein.</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10.15</w:t>
        <w:tab/>
        <w:t>The calculation formula of the Subscription Unit Price.</w:t>
      </w:r>
    </w:p>
    <w:p>
      <w:pPr>
        <w:spacing w:after="0" w:line="225" w:lineRule="exact"/>
        <w:rPr>
          <w:sz w:val="20"/>
          <w:szCs w:val="20"/>
          <w:color w:val="auto"/>
        </w:rPr>
      </w:pPr>
    </w:p>
    <w:p>
      <w:pPr>
        <w:ind w:left="900" w:hanging="568"/>
        <w:spacing w:after="0"/>
        <w:tabs>
          <w:tab w:leader="none" w:pos="9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formula of the Subscription Unit Price for each Preferred Share and how it is recognized is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formula of the anti-dilution adjustment and how it is recognized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-710565</wp:posOffset>
            </wp:positionV>
            <wp:extent cx="4860290" cy="45402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4860290" cy="45402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154940</wp:posOffset>
            </wp:positionV>
            <wp:extent cx="4928870" cy="1968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492887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404143"/>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-119380</wp:posOffset>
            </wp:positionV>
            <wp:extent cx="4088765" cy="3175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4088765" cy="317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920" w:right="20" w:hanging="616"/>
        <w:spacing w:after="0" w:line="282" w:lineRule="auto"/>
        <w:tabs>
          <w:tab w:leader="none" w:pos="19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Held at That Time" means the amount of Preferred Shares held by any Anti-Dilution Right Holder prior to the anti-dilution adjustment to such Anti-Dilution Right Holder in accordance with Clauses 10.13 to 10.16.</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1" w:name="page412"/>
    <w:bookmarkEnd w:id="41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color w:val="auto"/>
        </w:rPr>
        <w:t>Each Anti-Dilution Right Holder shall have the right to request an Anti-Dilution Claim in one of the following methods:</w:t>
      </w:r>
    </w:p>
    <w:p>
      <w:pPr>
        <w:spacing w:after="0" w:line="225" w:lineRule="exact"/>
        <w:rPr>
          <w:sz w:val="20"/>
          <w:szCs w:val="20"/>
          <w:color w:val="auto"/>
        </w:rPr>
      </w:pPr>
    </w:p>
    <w:p>
      <w:pPr>
        <w:ind w:left="900" w:hanging="568"/>
        <w:spacing w:after="0"/>
        <w:tabs>
          <w:tab w:leader="none" w:pos="9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I: The Company issues New Securities at the lowest price permitted by law.</w:t>
      </w:r>
    </w:p>
    <w:p>
      <w:pPr>
        <w:spacing w:after="0" w:line="225"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New Securities of the same amount as the "Anti-Dilution Adjustment Amount" (calculation formula as set forth in Clause 10.15 above) and of the same class of Shares held by such Anti-Dilution Right Holder, which shall be subscribed for by such Anti-Dilution Right Holder at the lowest unit price or par value permitted by law.</w:t>
      </w:r>
    </w:p>
    <w:p>
      <w:pPr>
        <w:spacing w:after="0" w:line="175"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paid by such Anti-Dilution Right Holder to the Company for the subscription of such New Securities shall be borne by the Company, which may include a directed Dividend from the Company to such Anti-Dilution Right Holder or a bonus rights issue, subject to Applicable Law.</w:t>
      </w:r>
    </w:p>
    <w:p>
      <w:pPr>
        <w:spacing w:after="0" w:line="175"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II: Transfer by VE Founders.</w:t>
      </w:r>
    </w:p>
    <w:p>
      <w:pPr>
        <w:spacing w:after="0" w:line="225" w:lineRule="exact"/>
        <w:rPr>
          <w:rFonts w:ascii="Times New Roman" w:cs="Times New Roman" w:eastAsia="Times New Roman" w:hAnsi="Times New Roman"/>
          <w:sz w:val="18"/>
          <w:szCs w:val="18"/>
          <w:color w:val="auto"/>
        </w:rPr>
      </w:pPr>
    </w:p>
    <w:p>
      <w:pPr>
        <w:jc w:val="both"/>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Founders shall transfer to such Anti-Dilution Right Holder New Securities of the same Class of Shares held by such Anti-Dilution Right Holder in the same amount as the "Anti-Dilution Adjustment Amount" (calculation formula as set forth in Clause 10.15 above) at a nominal price of one (1) RMB (or such other price as may be approved by such Anti-Dilution Right Holder) in proportion to their relative shareholding percentage.</w:t>
      </w:r>
    </w:p>
    <w:p>
      <w:pPr>
        <w:spacing w:after="0" w:line="180" w:lineRule="exact"/>
        <w:rPr>
          <w:sz w:val="20"/>
          <w:szCs w:val="20"/>
          <w:color w:val="auto"/>
        </w:rPr>
      </w:pPr>
    </w:p>
    <w:p>
      <w:pPr>
        <w:jc w:val="both"/>
        <w:ind w:left="64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10.17</w:t>
        <w:tab/>
        <w:t>For the avoidance of doubt, notwithstanding anything to the contrary in this Agreement and the Articles, except for the consummation of the Qualified IPO or otherwise agreed to in writing by the NIP Shareholders, in no event shall the Equity Ratio of the NIP Shareholders be diluted to lower than 40% (if there is no issuance of any Earn-Out Shares in accordance with Clause 15) or 45% (if there is an issuance of the Earn-Out Shares in accordance with Clause 15) due to the issuance or sale of any New Securities by the Company (for the avoidance of doubt, including the issuance of sale of any New Securities by the Company in relation to the implementation of the Restructuring Plan, but excluding the consummation of the Qualified IPO). Notwithstanding anything to the contrary in this Agreement, if the issuance or sale of any New Securities by the Company in accordance with this Clause 10 will result in the Equity Ratio of the NIP Shareholders (after taking into account of the performance ratchet adjustment in accordance with Clause 15 and/or consummation of the Qualified IPO) falling below 40% (if there is no issuance of any Earn-Out Shares in accordance with Clause 15) or 45% (if there is an issuance of the Earn-Out Shares in accordance with Clause 15), then unless otherwise agreed in writing by the NIP Shareholders following good faith discussion among the Shareholders, the Company shall concurrently issue additional New Securities to the NIP Shareholders either (i) without consideration (i.e. as a fully paid bonus New Securities or otherwise in accordance with Applicable Law) or (ii) at nominal value per Share if the Company is unable to meet the requirements under Applicable Law to issue New Securities to the NIP Shareholders without consideration, such that the Equity Ratio of the NIP Shareholders after such issuance of New Securities will remain at 40% or 45%, as the case may be.</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2" w:name="page413"/>
    <w:bookmarkEnd w:id="412"/>
    <w:p>
      <w:pPr>
        <w:ind w:left="640" w:hanging="632"/>
        <w:spacing w:after="0"/>
        <w:tabs>
          <w:tab w:leader="none" w:pos="640" w:val="left"/>
        </w:tabs>
        <w:numPr>
          <w:ilvl w:val="0"/>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provisions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Unless permitted by this Clause 11, or otherwise pursuant to Clauses 10.13, 12 to 16, or with the prior written consent of all other Shareholders, no</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Shareholder shall do, or agree to do, any of the following:</w:t>
      </w:r>
    </w:p>
    <w:p>
      <w:pPr>
        <w:spacing w:after="0" w:line="207" w:lineRule="exact"/>
        <w:rPr>
          <w:sz w:val="20"/>
          <w:szCs w:val="20"/>
          <w:color w:val="auto"/>
        </w:rPr>
      </w:pPr>
    </w:p>
    <w:p>
      <w:pPr>
        <w:ind w:left="1280" w:right="20" w:hanging="624"/>
        <w:spacing w:after="0" w:line="282" w:lineRule="auto"/>
        <w:tabs>
          <w:tab w:leader="none" w:pos="12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sell, transfer or otherwise dispose of, any of its Shares or any interest in any of its Shares or any share capital attributable to its Shares;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any of its Shares or any interest in any of its Shares or any share capital attributable to its Shares;</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in respect of the voting rights or other rights attached to any of its Shares or any share capital attributable to its Shares; or</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formal or informal agreement or arrangement to do any of the foregoing.</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and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of any of Clauses 11.1(a) to (d), but shall not include any transfer of interests or shares of the limited partners of the VE Financial Shareholders that will not affect any necessary Authorizations for the operation of the Group Companies.</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 xml:space="preserve">Any Transfer of Shares pursuant to this Clause 11 shall be made in accordance with the provisions of </w:t>
      </w:r>
      <w:r>
        <w:rPr>
          <w:rFonts w:ascii="Times New Roman" w:cs="Times New Roman" w:eastAsia="Times New Roman" w:hAnsi="Times New Roman"/>
          <w:sz w:val="17"/>
          <w:szCs w:val="17"/>
          <w:u w:val="single" w:color="auto"/>
          <w:color w:val="auto"/>
        </w:rPr>
        <w:t>Schedule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Transfer of Shares)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Shareholders shall keep the Company promptly informed in writing, at all times, of the issue and contents of any notice(s) served pursuant to this Clause 11 and any election or acceptance relating to those notices.</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Each Party shall ensure that the restrictions to which it is subject under this Clause 11 shall not be circumvented or avoided whether by the Transfer of an indirect beneficial interest in the Shares through the Transfer of shares in a holding company directly or indirectly holding such Shares or otherwise. Without limiting the foregoing, any such Transfer of an indirect beneficial interest in the Shares shall be treated as a Transfer of Shares by the relevant Party.</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Notwithstanding anything to the contrary contained herein, no Party shall Transfer any Securities to any of the Competitors, unless:</w:t>
      </w:r>
    </w:p>
    <w:p>
      <w:pPr>
        <w:spacing w:after="0" w:line="225" w:lineRule="exact"/>
        <w:rPr>
          <w:sz w:val="20"/>
          <w:szCs w:val="20"/>
          <w:color w:val="auto"/>
        </w:rPr>
      </w:pPr>
    </w:p>
    <w:p>
      <w:pPr>
        <w:ind w:left="1280" w:hanging="624"/>
        <w:spacing w:after="0"/>
        <w:tabs>
          <w:tab w:leader="none" w:pos="12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Wuhan Douyu Competitor, prior written consent has been obtained from Wuhan Douyu;</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NIP Competitor, prior written consent has been obtained from either the NIP Founder Holdco or the NIP Founders; and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3" w:name="page414"/>
    <w:bookmarkEnd w:id="413"/>
    <w:p>
      <w:pPr>
        <w:ind w:left="1280" w:hanging="624"/>
        <w:spacing w:after="0" w:line="282" w:lineRule="auto"/>
        <w:tabs>
          <w:tab w:leader="none" w:pos="12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Proposed Transfer to a Company Competitor, prior written consent has been obtained either from all of the Founder Holdcos or from all of the Founders.</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In connection with any Transfer of Securities, each Shareholder hereby undertakes to the Company that it will comply with all Applicable Laws (including but not limited to PRC Tax Laws) relating to the transfer of Securities in the Company and timely make all such filings and withhold or pay all such taxes, interests or other payment as may be required thereunder. This Clause 11.6 shall survive any termination of this Agreement with respect to such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Permitted transfers to Affiliates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Any Shareholder may Transfer any of its Shares to any of its Affiliates (each,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29" w:lineRule="exact"/>
        <w:rPr>
          <w:sz w:val="20"/>
          <w:szCs w:val="20"/>
          <w:color w:val="auto"/>
        </w:rPr>
      </w:pPr>
    </w:p>
    <w:p>
      <w:pPr>
        <w:ind w:left="1280" w:hanging="624"/>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transferring Shareholder gives prior written notice of the Transfer to each other Shareholder;</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transferring Shareholder (but not a subsequent transferor in a series of Transfers to Affiliates) remains party to this Agreement and is jointly and severally liable with the Permitted Transferee under this Agreement as a Shareholder in respect of the transferred Shares;</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Permitted Transferee (and/or any subsequent transferee in a series of Transfers to Affiliates) ceases to be an Affiliate of the original transferring Shareholder, it is under an obligation to re-transfer its Shares to the original transferring Shareholder or another Affiliate of the original transferring Shareholder immediately; and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Permitted Transferee shall have duly executed and delivered to the Company:</w:t>
      </w:r>
    </w:p>
    <w:p>
      <w:pPr>
        <w:spacing w:after="0" w:line="225" w:lineRule="exact"/>
        <w:rPr>
          <w:rFonts w:ascii="Times New Roman" w:cs="Times New Roman" w:eastAsia="Times New Roman" w:hAnsi="Times New Roman"/>
          <w:sz w:val="18"/>
          <w:szCs w:val="18"/>
          <w:color w:val="auto"/>
        </w:rPr>
      </w:pPr>
    </w:p>
    <w:p>
      <w:pPr>
        <w:ind w:left="1920" w:right="20" w:hanging="616"/>
        <w:spacing w:after="0" w:line="282" w:lineRule="auto"/>
        <w:tabs>
          <w:tab w:leader="none" w:pos="19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Deed of Adherence to signify its consent to be bound by the terms of this Agreement, with an electronic copy being delivered to each of the Shareholders; and</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56" w:lineRule="auto"/>
        <w:tabs>
          <w:tab w:leader="none" w:pos="19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 of attorney (in a form acceptable to the Company) to irrevocably appoint the Company (acting through any of the Directors) to be such Permitted Transferee's attorney, with full power of substitution, to act in the name of, and on behalf of, such Permitted Transferee, and to carry out any act or deed of such Permitted Transferee, without any reference to or consent from such Permitted Transferee, to sign, seal, deliver, execute, and perfect all deeds, instruments, and documents and do all other things as may be reasonably required or considered expedient by the Company to fully carry out the effect of Clause 11.7(c), as security for the performance of the relevant Shareholder's obligations under this Clause 11.7.</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Clause 12 do not apply to any of such Transfers to Affiliates effected pursuant to this Clause 11.7.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by Preferred Shareholders</w:t>
      </w:r>
    </w:p>
    <w:p>
      <w:pPr>
        <w:spacing w:after="0" w:line="22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11.8    Subject always to Clauses 11.2 to 11.5, each of the Preferred Shareholders may freely Transfer any Preferred Shares of the Company now or hereafter owned or held by it to a Qualified Third Party, provided that (i) such Transfer is effected in compliance with all Applicable Laws, and</w:t>
      </w:r>
    </w:p>
    <w:p>
      <w:pPr>
        <w:jc w:val="both"/>
        <w:ind w:left="640" w:firstLine="2"/>
        <w:spacing w:after="0" w:line="251" w:lineRule="auto"/>
        <w:tabs>
          <w:tab w:leader="none" w:pos="908"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Qualified Third Party shall execute and deliver to the Company a duly executed copy of the Deed of Adherence to signify its consent to be bound by the obligations of a "Preferred Shareholder" under this Agreement. The Company shall update its register of members upon the consummation of any such permitted Transfer under this Clause 11.8. Subject to the confidentiality undertakings set out in Clause 21, each Preferred Shareholder shall be entitled to disclose to any proposed Qualified Third Party any information, documents or materials concerning the Company known to or in possession of such Preferred Shareholder and the Company shall use commercially reasonable efforts to provide any assistance or cooperation reasonably requested by such Preferred Shareholder or the proposed Qualified Third Party in connection with such proposed Qualified Third Party's due diligence investigation of the Company; provided that prior to the disclosure of any Confidential Information, such Preferred Shareholder shall procure such proposed Qualified Third Party to have undertaken to the Company in writing to keep any such information, documents or materials as disclosed in strict confidence, on terms and conditions reasonably acceptable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by Founder Parties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Except for Transfers to Permitted Transferees pursuant to Clause 11.7, and subject to Clause 11.10:</w:t>
      </w:r>
    </w:p>
    <w:p>
      <w:pPr>
        <w:spacing w:after="0" w:line="225" w:lineRule="exact"/>
        <w:rPr>
          <w:sz w:val="20"/>
          <w:szCs w:val="20"/>
          <w:color w:val="auto"/>
        </w:rPr>
      </w:pPr>
    </w:p>
    <w:p>
      <w:pPr>
        <w:ind w:left="1280" w:right="20" w:hanging="624"/>
        <w:spacing w:after="0" w:line="282" w:lineRule="auto"/>
        <w:tabs>
          <w:tab w:leader="none" w:pos="12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with the prior written consent from such Preferred Shareholder(s) holding not less than two-thirds (2/3) of the total issued Preferred Shares:</w:t>
      </w:r>
    </w:p>
    <w:p>
      <w:pPr>
        <w:spacing w:after="0" w:line="161"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Ordinary Shareholder shall Transfer all or any part of its Shares now or hereafter owned or held by Ordinary Shareholder before the Qualified IPO; and</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1" w:lineRule="auto"/>
        <w:tabs>
          <w:tab w:leader="none" w:pos="19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 Founder shall Transfer all or any part of his interests (of any nature whatsoever) in any of the VE Founder Holdcos or Group Companies now or hereafter owned or held by such VE Founder before the Qualified IPO except for the purpose of implementation of the ESOP or implementation of any anti-dilution adjustment in accordance with Clause 10.13 to 10.16 of this Agreement and the Articles; and</w:t>
      </w:r>
    </w:p>
    <w:p>
      <w:pPr>
        <w:spacing w:after="0" w:line="179"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with the prior written consent from such Financial Shareholder(s) holding not less than two-thirds (2/3) of the total issued Preferred Shares:</w:t>
      </w:r>
    </w:p>
    <w:p>
      <w:pPr>
        <w:spacing w:after="0" w:line="161" w:lineRule="exact"/>
        <w:rPr>
          <w:rFonts w:ascii="Times New Roman" w:cs="Times New Roman" w:eastAsia="Times New Roman" w:hAnsi="Times New Roman"/>
          <w:sz w:val="18"/>
          <w:szCs w:val="18"/>
          <w:color w:val="auto"/>
        </w:rPr>
      </w:pPr>
    </w:p>
    <w:p>
      <w:pPr>
        <w:ind w:left="1920" w:right="20" w:hanging="616"/>
        <w:spacing w:after="0" w:line="282" w:lineRule="auto"/>
        <w:tabs>
          <w:tab w:leader="none" w:pos="19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NIP Founder Holdco shall Transfer all or any part of its Shares now or hereafter owned or held by such NIP Founder Holdco; and</w:t>
      </w:r>
    </w:p>
    <w:p>
      <w:pPr>
        <w:spacing w:after="0" w:line="161"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NIP Founder shall Transfer all or any part of his interests (of any nature whatsoever) in any of the NIP Founder Holdcos or Group Companies now or hereafter owned or held by such Founder.</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5" w:name="page416"/>
    <w:bookmarkEnd w:id="415"/>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11.10</w:t>
        <w:tab/>
        <w:t>For the avoidance of doubt, the restrictions under Clauses 11.9 shall apply and prevail over any rights that any Founder or Founder Holdco may have as a Preferred Shareholder under Clause 11.8, provided that:</w:t>
      </w:r>
    </w:p>
    <w:p>
      <w:pPr>
        <w:spacing w:after="0" w:line="162" w:lineRule="exact"/>
        <w:rPr>
          <w:sz w:val="20"/>
          <w:szCs w:val="20"/>
          <w:color w:val="auto"/>
        </w:rPr>
      </w:pPr>
    </w:p>
    <w:p>
      <w:pPr>
        <w:ind w:left="1280" w:hanging="624"/>
        <w:spacing w:after="0"/>
        <w:tabs>
          <w:tab w:leader="none" w:pos="128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under Clause 11.9 do not apply to the NIP Founders and the NIP Founder Holdcos after the Lock-Up Period; and</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Party shall be entitled to create any pledge or otherwise Encumber all or any part of its Shares, Securities, or any other interests of any nature whatsoever in any of the Founder Holdcos or Group Companies for purposes of financing the Company, subject to the prior written consent from such Financial Shareholder(s) holding not less than two-thirds (2/3) of the total issued Preferred Shares.</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 of Preferred Shareholders</w:t>
      </w:r>
    </w:p>
    <w:p>
      <w:pPr>
        <w:spacing w:after="0" w:line="225"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In the event that a VE Founder Holdco (including its successors and Permitted Transferees)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proposes to make a Transfer of any Securities which does not amount to a Drag-Along Sale (a "</w:t>
      </w:r>
      <w:r>
        <w:rPr>
          <w:rFonts w:ascii="Times New Roman" w:cs="Times New Roman" w:eastAsia="Times New Roman" w:hAnsi="Times New Roman"/>
          <w:sz w:val="18"/>
          <w:szCs w:val="18"/>
          <w:b w:val="1"/>
          <w:bCs w:val="1"/>
          <w:color w:val="auto"/>
        </w:rPr>
        <w:t>Proposed Transfer</w:t>
      </w:r>
      <w:r>
        <w:rPr>
          <w:rFonts w:ascii="Times New Roman" w:cs="Times New Roman" w:eastAsia="Times New Roman" w:hAnsi="Times New Roman"/>
          <w:sz w:val="18"/>
          <w:szCs w:val="18"/>
          <w:color w:val="auto"/>
        </w:rPr>
        <w:t>") to a Qualified Third Party (the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the Selling Shareholder must first deliver a written notice to the Company and all Preferred Shareholders no later than forty (40)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to the consummation of such Proposed Transfer (the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which shall:</w:t>
      </w:r>
    </w:p>
    <w:p>
      <w:pPr>
        <w:spacing w:after="0" w:line="180" w:lineRule="exact"/>
        <w:rPr>
          <w:sz w:val="20"/>
          <w:szCs w:val="20"/>
          <w:color w:val="auto"/>
        </w:rPr>
      </w:pPr>
    </w:p>
    <w:p>
      <w:pPr>
        <w:ind w:left="1280" w:hanging="624"/>
        <w:spacing w:after="0" w:line="282" w:lineRule="auto"/>
        <w:tabs>
          <w:tab w:leader="none" w:pos="12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the material terms and conditions of the Proposed Transfer, including a description of the Securities proposed to be Transferred by the Selling Shareholder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and the identity of the prospective Qualified Third Party(ies);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an offer by the Selling Shareholder for any Preferred Shareholder to either: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or any part of the Offered Securities on such terms and conditions as described in the Transfer Notice; or</w:t>
      </w:r>
    </w:p>
    <w:p>
      <w:pPr>
        <w:spacing w:after="0" w:line="221" w:lineRule="exact"/>
        <w:rPr>
          <w:rFonts w:ascii="Times New Roman" w:cs="Times New Roman" w:eastAsia="Times New Roman" w:hAnsi="Times New Roman"/>
          <w:sz w:val="18"/>
          <w:szCs w:val="18"/>
          <w:color w:val="auto"/>
        </w:rPr>
      </w:pPr>
    </w:p>
    <w:p>
      <w:pPr>
        <w:jc w:val="both"/>
        <w:ind w:left="1920" w:hanging="616"/>
        <w:spacing w:after="0" w:line="268" w:lineRule="auto"/>
        <w:tabs>
          <w:tab w:leader="none" w:pos="192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all (and not some only) of such Preferred Shareholder's Securities (the "</w:t>
      </w:r>
      <w:r>
        <w:rPr>
          <w:rFonts w:ascii="Times New Roman" w:cs="Times New Roman" w:eastAsia="Times New Roman" w:hAnsi="Times New Roman"/>
          <w:sz w:val="18"/>
          <w:szCs w:val="18"/>
          <w:b w:val="1"/>
          <w:bCs w:val="1"/>
          <w:color w:val="auto"/>
        </w:rPr>
        <w:t>ROFR Tag-Along Securities</w:t>
      </w:r>
      <w:r>
        <w:rPr>
          <w:rFonts w:ascii="Times New Roman" w:cs="Times New Roman" w:eastAsia="Times New Roman" w:hAnsi="Times New Roman"/>
          <w:sz w:val="18"/>
          <w:szCs w:val="18"/>
          <w:color w:val="auto"/>
        </w:rPr>
        <w:t>") to the Proposed Buyer, in the event that the Selling Shareholder is to sell any Remaining Offered Securities to the Proposed Buyer pursuant to Clause 12.4 (the "</w:t>
      </w:r>
      <w:r>
        <w:rPr>
          <w:rFonts w:ascii="Times New Roman" w:cs="Times New Roman" w:eastAsia="Times New Roman" w:hAnsi="Times New Roman"/>
          <w:sz w:val="18"/>
          <w:szCs w:val="18"/>
          <w:b w:val="1"/>
          <w:bCs w:val="1"/>
          <w:color w:val="auto"/>
        </w:rPr>
        <w:t>ROFR Tag-Along Option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Each Preferred Shareholder shall have the right, exercisable within ten (10) calendar days following receipt of the Transfer Notice (the "</w:t>
      </w:r>
      <w:r>
        <w:rPr>
          <w:rFonts w:ascii="Times New Roman" w:cs="Times New Roman" w:eastAsia="Times New Roman" w:hAnsi="Times New Roman"/>
          <w:sz w:val="18"/>
          <w:szCs w:val="18"/>
          <w:b w:val="1"/>
          <w:bCs w:val="1"/>
          <w:color w:val="auto"/>
        </w:rPr>
        <w:t>Acceptance Period</w:t>
      </w:r>
      <w:r>
        <w:rPr>
          <w:rFonts w:ascii="Times New Roman" w:cs="Times New Roman" w:eastAsia="Times New Roman" w:hAnsi="Times New Roman"/>
          <w:sz w:val="18"/>
          <w:szCs w:val="18"/>
          <w:color w:val="auto"/>
        </w:rPr>
        <w:t>"), to either:</w:t>
      </w:r>
    </w:p>
    <w:p>
      <w:pPr>
        <w:spacing w:after="0" w:line="162" w:lineRule="exact"/>
        <w:rPr>
          <w:sz w:val="20"/>
          <w:szCs w:val="20"/>
          <w:color w:val="auto"/>
        </w:rPr>
      </w:pPr>
    </w:p>
    <w:p>
      <w:pPr>
        <w:jc w:val="both"/>
        <w:ind w:left="1280" w:hanging="624"/>
        <w:spacing w:after="0" w:line="261" w:lineRule="auto"/>
        <w:tabs>
          <w:tab w:leader="none" w:pos="12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purchase all or any part of the Offered Securities pursuant to Clause 12.1(b)(i) by serving a written notice to the Selling Shareholder to such effect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pursuant to which the Preferred Shareholder shall be bound to purchase, and the Selling Shareholder shall be bound to sell, such number of Offered Securities as set out in Acceptance Notice, subject to the terms and conditions as stipulated in the Transfer Notice; or</w:t>
      </w:r>
    </w:p>
    <w:p>
      <w:pPr>
        <w:spacing w:after="0" w:line="175" w:lineRule="exact"/>
        <w:rPr>
          <w:rFonts w:ascii="Times New Roman" w:cs="Times New Roman" w:eastAsia="Times New Roman" w:hAnsi="Times New Roman"/>
          <w:sz w:val="18"/>
          <w:szCs w:val="18"/>
          <w:color w:val="auto"/>
        </w:rPr>
      </w:pPr>
    </w:p>
    <w:p>
      <w:pPr>
        <w:ind w:left="1280" w:hanging="624"/>
        <w:spacing w:after="0" w:line="286" w:lineRule="auto"/>
        <w:tabs>
          <w:tab w:leader="none" w:pos="12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exercise the ROFR Tag-Along Option by serving a written notice to the Selling Shareholder (the "</w:t>
      </w:r>
      <w:r>
        <w:rPr>
          <w:rFonts w:ascii="Times New Roman" w:cs="Times New Roman" w:eastAsia="Times New Roman" w:hAnsi="Times New Roman"/>
          <w:sz w:val="18"/>
          <w:szCs w:val="18"/>
          <w:b w:val="1"/>
          <w:bCs w:val="1"/>
          <w:color w:val="auto"/>
        </w:rPr>
        <w:t>ROFR Tag-Along Notice</w:t>
      </w:r>
      <w:r>
        <w:rPr>
          <w:rFonts w:ascii="Times New Roman" w:cs="Times New Roman" w:eastAsia="Times New Roman" w:hAnsi="Times New Roman"/>
          <w:sz w:val="18"/>
          <w:szCs w:val="18"/>
          <w:color w:val="auto"/>
        </w:rPr>
        <w:t>"), pursuant to which the Preferred Shareholder shall be bound to sell the ROFR Tag-Along Securities in accordance with Clause 12.5.</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6" w:name="page417"/>
    <w:bookmarkEnd w:id="416"/>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event more than one of the Preferred Shareholders exercise their rights to purchase the Offered Securities pursuant to Clause 12.2(a), upon receipt of the Acceptance Notices from such Preferred Shareholders (each a "</w:t>
      </w:r>
      <w:r>
        <w:rPr>
          <w:rFonts w:ascii="Times New Roman" w:cs="Times New Roman" w:eastAsia="Times New Roman" w:hAnsi="Times New Roman"/>
          <w:sz w:val="18"/>
          <w:szCs w:val="18"/>
          <w:b w:val="1"/>
          <w:bCs w:val="1"/>
          <w:color w:val="auto"/>
        </w:rPr>
        <w:t>Joint Accepting 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Accepting Shareholders</w:t>
      </w:r>
      <w:r>
        <w:rPr>
          <w:rFonts w:ascii="Times New Roman" w:cs="Times New Roman" w:eastAsia="Times New Roman" w:hAnsi="Times New Roman"/>
          <w:sz w:val="18"/>
          <w:szCs w:val="18"/>
          <w:color w:val="auto"/>
        </w:rPr>
        <w:t>"), the Selling Shareholder shall then be bound to sell, and each Joint Accepting Shareholder shall be bound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portion of the Offered Securities on a pro-rata basis with respect to the number of Preferred Shares held by each of such Joint Accepting Shareholders divided by the number of Preferred Shares held by all Joint Accepting Shareholders in aggregate (calculated on a fully diluted and as-converted basis), in each case at the price and upon the terms as stipulated in the Transfer Notice.</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If: (i) none of the Preferred Shareholders serves an Acceptance Notice within the Acceptance Period; or (ii) any Accepting Shareholder (or Joint Accepting Shareholder, as the case may be), fails to complete the acquisition of such number of the Offered Securities pursuant to Clause 12.2(a) (or Clause 12.3, in the case of a Joint Accepting Shareholder) within twenty (20) calendar days from the expiry of the Acceptance Period, then the Selling Shareholder shall be entitled to sell, subject to Clause 12.5, all (and not some only) of such unsold or remaining Offered Securities held by the Selling Shareholder (the "</w:t>
      </w:r>
      <w:r>
        <w:rPr>
          <w:rFonts w:ascii="Times New Roman" w:cs="Times New Roman" w:eastAsia="Times New Roman" w:hAnsi="Times New Roman"/>
          <w:sz w:val="18"/>
          <w:szCs w:val="18"/>
          <w:b w:val="1"/>
          <w:bCs w:val="1"/>
          <w:color w:val="auto"/>
        </w:rPr>
        <w:t>Remaining Offered Securities</w:t>
      </w:r>
      <w:r>
        <w:rPr>
          <w:rFonts w:ascii="Times New Roman" w:cs="Times New Roman" w:eastAsia="Times New Roman" w:hAnsi="Times New Roman"/>
          <w:sz w:val="18"/>
          <w:szCs w:val="18"/>
          <w:color w:val="auto"/>
        </w:rPr>
        <w:t>") to the Proposed Buyer within six (6) months from the expiry of the Acceptance Period at the same price and subject to the same material terms and conditions as described in the Transfer Notice.</w:t>
      </w:r>
    </w:p>
    <w:p>
      <w:pPr>
        <w:spacing w:after="0" w:line="187"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In the event that: (i) the Selling Shareholder is to sell the Remaining Offered Securities pursuant to Clause 12.4; and (ii) any of the Preferred Shareholders has delivered a ROFR Tag-Along Notice pursuant to Clause 12.2(b) (a "</w:t>
      </w:r>
      <w:r>
        <w:rPr>
          <w:rFonts w:ascii="Times New Roman" w:cs="Times New Roman" w:eastAsia="Times New Roman" w:hAnsi="Times New Roman"/>
          <w:sz w:val="18"/>
          <w:szCs w:val="18"/>
          <w:b w:val="1"/>
          <w:bCs w:val="1"/>
          <w:color w:val="auto"/>
        </w:rPr>
        <w:t>ROFR Tag-Along Shareholder</w:t>
      </w:r>
      <w:r>
        <w:rPr>
          <w:rFonts w:ascii="Times New Roman" w:cs="Times New Roman" w:eastAsia="Times New Roman" w:hAnsi="Times New Roman"/>
          <w:sz w:val="18"/>
          <w:szCs w:val="18"/>
          <w:color w:val="auto"/>
        </w:rPr>
        <w:t>"), the Selling Shareholder shall procure that a legally binding agreement be entered into between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Selling Shareholder, such ROFR Tag-Along Shareholder(s), and the Proposed Buyer with respect to the sale of the Remaining Offered Securities and the ROFR Tag-Along Securities to the Proposed Buyer, provided that the proposed transaction with the Proposed Buyer under such binding agreement shall have satisfied the following conditions:</w:t>
      </w:r>
    </w:p>
    <w:p>
      <w:pPr>
        <w:spacing w:after="0" w:line="183" w:lineRule="exact"/>
        <w:rPr>
          <w:sz w:val="20"/>
          <w:szCs w:val="20"/>
          <w:color w:val="auto"/>
        </w:rPr>
      </w:pPr>
    </w:p>
    <w:p>
      <w:pPr>
        <w:ind w:left="1280" w:hanging="624"/>
        <w:spacing w:after="0"/>
        <w:tabs>
          <w:tab w:leader="none" w:pos="12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shall have been conducted on an arm's length basis;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shall in principle reflect the material terms set out in the Transfer Notice;</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Remaining Offered Securities and the sale of the ROFR Tag-Along Securities shall be for consideration in cash only and generally shall be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of the Selling Shareholder and the ROFR Tag-Along Shareholder(s) shall be several but not joint; and</w:t>
      </w:r>
    </w:p>
    <w:p>
      <w:pPr>
        <w:spacing w:after="0" w:line="22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each of the Selling Shareholder and the ROFR Tag-Along Shareholder(s) under the proposed transaction to the Proposed Buyer shall be the purchase price that it has actually received under the proposed transaction.</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If a Preferred Shareholder fails to give an Acceptance Notice or a ROFR Tag-Along Notice within the Acceptance Period, it shall be deemed to have declined to exercise its rights under this Clause 12.</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7" w:name="page418"/>
    <w:bookmarkEnd w:id="417"/>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The rights of the Preferred Shareholders under this Clause 12 shall terminate upon the consummation of the Qualified IPO.</w:t>
      </w:r>
    </w:p>
    <w:p>
      <w:pPr>
        <w:spacing w:after="0" w:line="221" w:lineRule="exact"/>
        <w:rPr>
          <w:sz w:val="20"/>
          <w:szCs w:val="20"/>
          <w:color w:val="auto"/>
        </w:rPr>
      </w:pPr>
    </w:p>
    <w:p>
      <w:pPr>
        <w:ind w:left="640" w:hanging="632"/>
        <w:spacing w:after="0"/>
        <w:tabs>
          <w:tab w:leader="none" w:pos="64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Drag Along Right</w:t>
      </w:r>
    </w:p>
    <w:p>
      <w:pPr>
        <w:spacing w:after="0" w:line="225"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If any of the Shareholder(s) (the "</w:t>
      </w:r>
      <w:r>
        <w:rPr>
          <w:rFonts w:ascii="Times New Roman" w:cs="Times New Roman" w:eastAsia="Times New Roman" w:hAnsi="Times New Roman"/>
          <w:sz w:val="18"/>
          <w:szCs w:val="18"/>
          <w:b w:val="1"/>
          <w:bCs w:val="1"/>
          <w:color w:val="auto"/>
        </w:rPr>
        <w:t>Dragging Shareholders</w:t>
      </w:r>
      <w:r>
        <w:rPr>
          <w:rFonts w:ascii="Times New Roman" w:cs="Times New Roman" w:eastAsia="Times New Roman" w:hAnsi="Times New Roman"/>
          <w:sz w:val="18"/>
          <w:szCs w:val="18"/>
          <w:color w:val="auto"/>
        </w:rPr>
        <w:t>") proposes to Transfer, whether through a single transaction or a series of related transactions, such number of Securities held by them which in aggregate would constitute a Change of Control (a "</w:t>
      </w:r>
      <w:r>
        <w:rPr>
          <w:rFonts w:ascii="Times New Roman" w:cs="Times New Roman" w:eastAsia="Times New Roman" w:hAnsi="Times New Roman"/>
          <w:sz w:val="18"/>
          <w:szCs w:val="18"/>
          <w:b w:val="1"/>
          <w:bCs w:val="1"/>
          <w:color w:val="auto"/>
        </w:rPr>
        <w:t>Drag-Along Sale</w:t>
      </w:r>
      <w:r>
        <w:rPr>
          <w:rFonts w:ascii="Times New Roman" w:cs="Times New Roman" w:eastAsia="Times New Roman" w:hAnsi="Times New Roman"/>
          <w:sz w:val="18"/>
          <w:szCs w:val="18"/>
          <w:color w:val="auto"/>
        </w:rPr>
        <w:t>"), the Dragging Shareholders may require all other Shareholders (other than (i) the NIP Shareholders, unless the Dragging Shareholders include all of the NIP Founder Holdcos; and (ii) the VE Financial Shareholders unless the Dragging Shareholders include all of the VE Founder Holdcos) (the "</w:t>
      </w:r>
      <w:r>
        <w:rPr>
          <w:rFonts w:ascii="Times New Roman" w:cs="Times New Roman" w:eastAsia="Times New Roman" w:hAnsi="Times New Roman"/>
          <w:sz w:val="18"/>
          <w:szCs w:val="18"/>
          <w:b w:val="1"/>
          <w:bCs w:val="1"/>
          <w:color w:val="auto"/>
        </w:rPr>
        <w:t>Dragged Shareholders</w:t>
      </w:r>
      <w:r>
        <w:rPr>
          <w:rFonts w:ascii="Times New Roman" w:cs="Times New Roman" w:eastAsia="Times New Roman" w:hAnsi="Times New Roman"/>
          <w:sz w:val="18"/>
          <w:szCs w:val="18"/>
          <w:color w:val="auto"/>
        </w:rPr>
        <w:t>") to participate in such Drag-Along Sale in accordance with this Clause 13, provided that the Drag-Along Sale (including such price and terms thereof) has been approved as a Shareholders Reserved Matter following the Requisite Approvals and agreed to by all of the Founder Parties in writing. For the avoidance of doubt, the provisions under Clause 12 shall not apply to a Drag-Along Sale.</w:t>
      </w:r>
    </w:p>
    <w:p>
      <w:pPr>
        <w:spacing w:after="0" w:line="187" w:lineRule="exact"/>
        <w:rPr>
          <w:sz w:val="20"/>
          <w:szCs w:val="20"/>
          <w:color w:val="auto"/>
        </w:rPr>
      </w:pPr>
    </w:p>
    <w:p>
      <w:pPr>
        <w:jc w:val="both"/>
        <w:ind w:left="640" w:right="2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Within five (5) calendar days after entering into any binding agreement (in the form approved as a Shareholders Reserved Matter for purposes of the Drag-Along Sale) (the "</w:t>
      </w:r>
      <w:r>
        <w:rPr>
          <w:rFonts w:ascii="Times New Roman" w:cs="Times New Roman" w:eastAsia="Times New Roman" w:hAnsi="Times New Roman"/>
          <w:sz w:val="18"/>
          <w:szCs w:val="18"/>
          <w:b w:val="1"/>
          <w:bCs w:val="1"/>
          <w:color w:val="auto"/>
        </w:rPr>
        <w:t>Sale Agreement</w:t>
      </w:r>
      <w:r>
        <w:rPr>
          <w:rFonts w:ascii="Times New Roman" w:cs="Times New Roman" w:eastAsia="Times New Roman" w:hAnsi="Times New Roman"/>
          <w:sz w:val="18"/>
          <w:szCs w:val="18"/>
          <w:color w:val="auto"/>
        </w:rPr>
        <w:t>"), the Dragging Shareholders shall deliver a written notice (the "</w:t>
      </w:r>
      <w:r>
        <w:rPr>
          <w:rFonts w:ascii="Times New Roman" w:cs="Times New Roman" w:eastAsia="Times New Roman" w:hAnsi="Times New Roman"/>
          <w:sz w:val="18"/>
          <w:szCs w:val="18"/>
          <w:b w:val="1"/>
          <w:bCs w:val="1"/>
          <w:color w:val="auto"/>
        </w:rPr>
        <w:t>Tag Notice</w:t>
      </w:r>
      <w:r>
        <w:rPr>
          <w:rFonts w:ascii="Times New Roman" w:cs="Times New Roman" w:eastAsia="Times New Roman" w:hAnsi="Times New Roman"/>
          <w:sz w:val="18"/>
          <w:szCs w:val="18"/>
          <w:color w:val="auto"/>
        </w:rPr>
        <w:t>") to all other Shareholders (the "</w:t>
      </w:r>
      <w:r>
        <w:rPr>
          <w:rFonts w:ascii="Times New Roman" w:cs="Times New Roman" w:eastAsia="Times New Roman" w:hAnsi="Times New Roman"/>
          <w:sz w:val="18"/>
          <w:szCs w:val="18"/>
          <w:b w:val="1"/>
          <w:bCs w:val="1"/>
          <w:color w:val="auto"/>
        </w:rPr>
        <w:t>Tag Holders</w:t>
      </w:r>
      <w:r>
        <w:rPr>
          <w:rFonts w:ascii="Times New Roman" w:cs="Times New Roman" w:eastAsia="Times New Roman" w:hAnsi="Times New Roman"/>
          <w:sz w:val="18"/>
          <w:szCs w:val="18"/>
          <w:color w:val="auto"/>
        </w:rPr>
        <w:t>") stating:</w:t>
      </w:r>
    </w:p>
    <w:p>
      <w:pPr>
        <w:spacing w:after="0" w:line="172" w:lineRule="exact"/>
        <w:rPr>
          <w:sz w:val="20"/>
          <w:szCs w:val="20"/>
          <w:color w:val="auto"/>
        </w:rPr>
      </w:pPr>
    </w:p>
    <w:p>
      <w:pPr>
        <w:ind w:left="1280" w:hanging="624"/>
        <w:spacing w:after="0"/>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proposed Qualified Third Party(ies) for the Drag-Along Sale (the "</w:t>
      </w:r>
      <w:r>
        <w:rPr>
          <w:rFonts w:ascii="Times New Roman" w:cs="Times New Roman" w:eastAsia="Times New Roman" w:hAnsi="Times New Roman"/>
          <w:sz w:val="18"/>
          <w:szCs w:val="18"/>
          <w:b w:val="1"/>
          <w:bCs w:val="1"/>
          <w:color w:val="auto"/>
        </w:rPr>
        <w:t>Tag Transferee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to be Transferred;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date of consummation of the proposed Drag-Along Sale;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Tag Transferee has been informed of the Tag-Along Right;</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no consideration is being provided to any Dragging Shareholder that is not reflected in the price to be paid to such Tag Holder (if it exercises the Tag-Along Right);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Tag Transferee is a Qualified Third Party.</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Tag Notice shall be accompanied by true and complete copies of all agreements (including the Sale Agreement) between the Dragging Shareholders and the Tag Transferee regarding the proposed Drag-Along Sale. For the avoidance of doubt, for the purposes of this Clause 13, the Shareholders who have a Tag-Along Right are the same Shareholders who may be subject to the Drag Notice.</w:t>
      </w:r>
    </w:p>
    <w:p>
      <w:pPr>
        <w:spacing w:after="0" w:line="172"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Dragging Shareholders may, within five (5) calendar days after the date of the Tag Notice, by delivering a notice in writing (a "</w:t>
      </w:r>
      <w:r>
        <w:rPr>
          <w:rFonts w:ascii="Times New Roman" w:cs="Times New Roman" w:eastAsia="Times New Roman" w:hAnsi="Times New Roman"/>
          <w:sz w:val="18"/>
          <w:szCs w:val="18"/>
          <w:b w:val="1"/>
          <w:bCs w:val="1"/>
          <w:color w:val="auto"/>
        </w:rPr>
        <w:t>Drag Notice</w:t>
      </w:r>
      <w:r>
        <w:rPr>
          <w:rFonts w:ascii="Times New Roman" w:cs="Times New Roman" w:eastAsia="Times New Roman" w:hAnsi="Times New Roman"/>
          <w:sz w:val="18"/>
          <w:szCs w:val="18"/>
          <w:color w:val="auto"/>
        </w:rPr>
        <w:t>") on each of the Dragged Shareholders, require each Dragged Shareholder to participate in the Drag-Along Sale by Transferring all of such Securities registered in the name of such Dragged Shareholder (the "</w:t>
      </w:r>
      <w:r>
        <w:rPr>
          <w:rFonts w:ascii="Times New Roman" w:cs="Times New Roman" w:eastAsia="Times New Roman" w:hAnsi="Times New Roman"/>
          <w:sz w:val="18"/>
          <w:szCs w:val="18"/>
          <w:b w:val="1"/>
          <w:bCs w:val="1"/>
          <w:color w:val="auto"/>
        </w:rPr>
        <w:t>Dragged Shares</w:t>
      </w:r>
      <w:r>
        <w:rPr>
          <w:rFonts w:ascii="Times New Roman" w:cs="Times New Roman" w:eastAsia="Times New Roman" w:hAnsi="Times New Roman"/>
          <w:sz w:val="18"/>
          <w:szCs w:val="18"/>
          <w:color w:val="auto"/>
        </w:rPr>
        <w:t>"), subject to the terms and on the date of completion of the Sale Agreement (which shall not be less than thirty (30) calendar days after the date of the Drag Notice) (the "</w:t>
      </w:r>
      <w:r>
        <w:rPr>
          <w:rFonts w:ascii="Times New Roman" w:cs="Times New Roman" w:eastAsia="Times New Roman" w:hAnsi="Times New Roman"/>
          <w:sz w:val="18"/>
          <w:szCs w:val="18"/>
          <w:b w:val="1"/>
          <w:bCs w:val="1"/>
          <w:color w:val="auto"/>
        </w:rPr>
        <w:t>Drag Completion Date</w:t>
      </w:r>
      <w:r>
        <w:rPr>
          <w:rFonts w:ascii="Times New Roman" w:cs="Times New Roman" w:eastAsia="Times New Roman" w:hAnsi="Times New Roman"/>
          <w:sz w:val="18"/>
          <w:szCs w:val="18"/>
          <w:color w:val="auto"/>
        </w:rPr>
        <w:t>") as stipulated in the Drag Notice. If the Drag-Along Sale contemplated in the Sale Agreement is not completed on or prior to the Drag Completion Date, the Drag Notice shall lapse.</w:t>
      </w:r>
    </w:p>
    <w:p>
      <w:pPr>
        <w:spacing w:after="0" w:line="200" w:lineRule="exact"/>
        <w:rPr>
          <w:sz w:val="20"/>
          <w:szCs w:val="20"/>
          <w:color w:val="auto"/>
        </w:rPr>
      </w:pPr>
    </w:p>
    <w:p>
      <w:pPr>
        <w:spacing w:after="0" w:line="20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8" w:name="page419"/>
    <w:bookmarkEnd w:id="418"/>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price for each Dragged Share shall: (a) be equal to the highest consideration offered for each Security in the Company in the Sale Agreement;</w:t>
      </w:r>
    </w:p>
    <w:p>
      <w:pPr>
        <w:spacing w:after="0" w:line="27" w:lineRule="exact"/>
        <w:rPr>
          <w:sz w:val="20"/>
          <w:szCs w:val="20"/>
          <w:color w:val="auto"/>
        </w:rPr>
      </w:pPr>
    </w:p>
    <w:p>
      <w:pPr>
        <w:ind w:left="640" w:firstLine="2"/>
        <w:spacing w:after="0" w:line="260" w:lineRule="auto"/>
        <w:tabs>
          <w:tab w:leader="none" w:pos="91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the same form as that offered for each Security in the Company in the Sale Agreement; and (c) shall be paid at the same time as the consideration is payable under the Sale Agreement (or, if later, on the Drag Completion Date) and shall be subject to the same payment terms.</w:t>
      </w:r>
    </w:p>
    <w:p>
      <w:pPr>
        <w:spacing w:after="0" w:line="181"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For the avoidance of doubt, all Dragged Shareholders' obligations under this Clause 13 to Transfer the Dragged Shares shall apply regardless of whether the Dragged Shares are of the same class or type of Securities of the Company which the Dragging Shareholders propose to Transfer, provided that, to the extent such a difference in class or type exists, the consideration payable to the Dragged Shareholders for the Dragged Shares shall be calculated as if all Securities of the Company held by the applicable Dragging Shareholders and the Dragged Shareholders which will be subject to a Transfer under this Clause 13 (assuming the Dragging Shareholders exercise their drag-along rights in full) had been converted into Ordinary Shares on the date immediately prior to the date of the Drag Notice (to the extent not already in the form of Ordinary Shares) at the conversion price which would be applicable on such date had such conversion occurred on such date.</w:t>
      </w:r>
    </w:p>
    <w:p>
      <w:pPr>
        <w:spacing w:after="0" w:line="189"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Any Transfer by a Dragged Shareholder shall be made on substantially the same terms and conditions as described in the Sale Agreement. However, the Dragged Shareholders shall not be required to make any representation or warranty to the proposed Qualified Third Party(ies), other than as to good title to any Dragged Shares, absence of liens with respect to such Dragged Shares, customary representations and warranties concerning the Dragged Shareholder's power and authority to undertake the proposed Transfer and the validity and enforceability of the Dragged Shareholder's obligations in connection with it. If any or all Dragged Shareholders are required to provide any indemnity under the Sale Agreement, each Dragged Shareholder's liability under such indemnity shall be several only and limited in amount to the proportion of its Dragged Shares that bears to the total number of Dragged Shares that are the subject of the Sale Agreement.</w:t>
      </w:r>
    </w:p>
    <w:p>
      <w:pPr>
        <w:spacing w:after="0" w:line="189"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Clauses 13.1 to 13.6 shall not apply to the extent that the price, in cash or cash equivalents, for each Dragged Share does not represent a Fair Market Value for an arm's length sale as determined by an Independent Valuer, or is not in cash or cash equivalents.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The obligations under this Clause 13 shall be terminated upon the consummation of the Qualified IPO.</w:t>
      </w:r>
    </w:p>
    <w:p>
      <w:pPr>
        <w:spacing w:after="0" w:line="221" w:lineRule="exact"/>
        <w:rPr>
          <w:sz w:val="20"/>
          <w:szCs w:val="20"/>
          <w:color w:val="auto"/>
        </w:rPr>
      </w:pPr>
    </w:p>
    <w:p>
      <w:pPr>
        <w:ind w:left="640" w:hanging="632"/>
        <w:spacing w:after="0"/>
        <w:tabs>
          <w:tab w:leader="none" w:pos="64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Tag Along Right</w:t>
      </w:r>
    </w:p>
    <w:p>
      <w:pPr>
        <w:spacing w:after="0" w:line="229" w:lineRule="exact"/>
        <w:rPr>
          <w:sz w:val="20"/>
          <w:szCs w:val="20"/>
          <w:color w:val="auto"/>
        </w:rPr>
      </w:pPr>
    </w:p>
    <w:p>
      <w:pPr>
        <w:jc w:val="both"/>
        <w:ind w:left="64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If the Dragging Shareholders do not deliver the Drag Notice to any Tag Holders within ten (10) calendar days after entering into the Sale Agreement, each Tag Holder shall have the right (the "</w:t>
      </w:r>
      <w:r>
        <w:rPr>
          <w:rFonts w:ascii="Times New Roman" w:cs="Times New Roman" w:eastAsia="Times New Roman" w:hAnsi="Times New Roman"/>
          <w:sz w:val="18"/>
          <w:szCs w:val="18"/>
          <w:b w:val="1"/>
          <w:bCs w:val="1"/>
          <w:color w:val="auto"/>
        </w:rPr>
        <w:t>Tag-Along Right</w:t>
      </w:r>
      <w:r>
        <w:rPr>
          <w:rFonts w:ascii="Times New Roman" w:cs="Times New Roman" w:eastAsia="Times New Roman" w:hAnsi="Times New Roman"/>
          <w:sz w:val="18"/>
          <w:szCs w:val="18"/>
          <w:color w:val="auto"/>
        </w:rPr>
        <w:t>") but not the obligation to require the Tag Transferee in a Drag-Along Sale to purchase from such Tag Holder (and its Permitted Transferees and Affiliates, if applicable), for the same consideration that would be payable to such Tag Holder had it been a Dragged Shareholder, up to all of the Securities held by such Tag Holder, its Permitted Transferees and Affiliates. The Tag-Along Right shall be exercisable by a Tag Holder by delivering a written notice of exercise of the Tag-Along Right to the Dragging Shareholders within ten (10) calendar days after the delivery of the Tag Notice specifying the number of Securities (the "</w:t>
      </w:r>
      <w:r>
        <w:rPr>
          <w:rFonts w:ascii="Times New Roman" w:cs="Times New Roman" w:eastAsia="Times New Roman" w:hAnsi="Times New Roman"/>
          <w:sz w:val="18"/>
          <w:szCs w:val="18"/>
          <w:b w:val="1"/>
          <w:bCs w:val="1"/>
          <w:color w:val="auto"/>
        </w:rPr>
        <w:t>Tag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with respect to which the Tag Holder has elected to exercise the Tag-Along Right. The terms and conditions applicable to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Tag Holder pursuant to this Clause 14 shall be the same as those applicable to a Dragged Shareholder pursuant to 13. If any Tag Holder has properly elected to exercise the Tag-Along Right, the number of Securities (calculated on as-converted basis) proposed to be Transferred by each Dragging Shareholder shall be reduced by a number equal to (i) the number of Tag Securities (on an as-converted basis) multiplied by (ii) a fraction, the numerator of which is the total number of Securities (on an as-converted basis) proposed to be Transferred by such Dragging Shareholder and the denominator of which is the total number of Securities (on an as-converted basis) proposed to be transferred by all of the Dragging Shareholders. If any Tag Holder has properly elected to exercise the Tag-Along Right and the Tag Transferee fails to purchase the Securities from such Tag Holder, the Dragging Shareholder(s) shall not consummate the Drag-Along Sale, and if purported to be made, such Drag-Along Sale shall be void.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9" w:name="page420"/>
    <w:bookmarkEnd w:id="419"/>
    <w:p>
      <w:pPr>
        <w:ind w:left="632" w:hanging="632"/>
        <w:spacing w:after="0"/>
        <w:tabs>
          <w:tab w:leader="none" w:pos="632"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Ratchet</w:t>
      </w:r>
    </w:p>
    <w:p>
      <w:pPr>
        <w:spacing w:after="0" w:line="229" w:lineRule="exact"/>
        <w:rPr>
          <w:sz w:val="20"/>
          <w:szCs w:val="20"/>
          <w:color w:val="auto"/>
        </w:rPr>
      </w:pPr>
    </w:p>
    <w:p>
      <w:pPr>
        <w:jc w:val="both"/>
        <w:ind w:left="632" w:hanging="633"/>
        <w:spacing w:after="0" w:line="254" w:lineRule="auto"/>
        <w:tabs>
          <w:tab w:leader="none" w:pos="612"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the VE Revenue generated during the Earn-Out Period does not meet the Earn-Out Requirement (as determined in accordance with Clause 15.2) or if no Earn-Out Statement has been delivered by the Board to the NIP Shareholders within the Notification Period in accordance with Clause 15.2(a), the NIP Shareholders shall collectively be entitled to receive additional Class B-1 Preferred Shares (the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(which, for the avoidance of doubt, are to be apportioned among the NIP Shareholders on a pro-rata basis with reference to their then-Equity Ratio), such that the total number of Shares held by all NIP Shareholders following such issuance of the Earn-Out Shares in aggregate as divided by the total number of Shares in issue following such issue of the Earn-Out Shares (calculated on a fully diluted and as-converted basis) shall be equivalent to Post-Earn-Out VE Equity Ratio (i.e., 45%). The Company shall issue the Earn-Out Shares (if any) to the NIP Shareholders either (i) without consideration (i.e. as a fully paid bonus New Securities or otherwise in accordance with Applicable Law) or (ii) at nominal value per Share if the Company is unable to meet the requirements under Applicable Law to issue New Securities to the NIP Shareholders without consideration.</w:t>
      </w:r>
    </w:p>
    <w:p>
      <w:pPr>
        <w:spacing w:after="0" w:line="188" w:lineRule="exact"/>
        <w:rPr>
          <w:sz w:val="20"/>
          <w:szCs w:val="20"/>
          <w:color w:val="auto"/>
        </w:rPr>
      </w:pPr>
    </w:p>
    <w:p>
      <w:pPr>
        <w:jc w:val="both"/>
        <w:ind w:left="632" w:hanging="633"/>
        <w:spacing w:after="0" w:line="254" w:lineRule="auto"/>
        <w:tabs>
          <w:tab w:leader="none" w:pos="612"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If the VE Shareholders (acting collectively) are of reasonable opinion that the Earn-Out Requirement has been met, the VE Shareholders shall, by no later than the date of 31 March 2023 or the date of thirty (30) days from the Effective Date (whichever is later)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procure the Board to prepare and deliver to the NIP Shareholders a statement (the "</w:t>
      </w:r>
      <w:r>
        <w:rPr>
          <w:rFonts w:ascii="Times New Roman" w:cs="Times New Roman" w:eastAsia="Times New Roman" w:hAnsi="Times New Roman"/>
          <w:sz w:val="18"/>
          <w:szCs w:val="18"/>
          <w:b w:val="1"/>
          <w:bCs w:val="1"/>
          <w:color w:val="auto"/>
        </w:rPr>
        <w:t>Earn-Out Statement</w:t>
      </w:r>
      <w:r>
        <w:rPr>
          <w:rFonts w:ascii="Times New Roman" w:cs="Times New Roman" w:eastAsia="Times New Roman" w:hAnsi="Times New Roman"/>
          <w:sz w:val="18"/>
          <w:szCs w:val="18"/>
          <w:color w:val="auto"/>
        </w:rPr>
        <w:t>") setting forth the evidences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basis of determination as to whether the Earn-Out Requirement has been met (together with copies of all the evidences). The NIP Shareholders shall take all reasonable actions to cooperate with the preparation of the Earn-Out Statement and shall not unreasonably hinder the preparation of the Earn-Out Statement. For the avoidance of doubt, if no Earn-Out Statement has been delivered by the Board to the NIP Shareholders within the Notification Period, it shall be deemed that the Earn-Out Requirement has not been met and the NIP Shareholders shall automatically be entitled to receive the Earn-Out Shares in accordance with Clause 15.1.</w:t>
      </w:r>
    </w:p>
    <w:p>
      <w:pPr>
        <w:spacing w:after="0" w:line="192" w:lineRule="exact"/>
        <w:rPr>
          <w:sz w:val="20"/>
          <w:szCs w:val="20"/>
          <w:color w:val="auto"/>
        </w:rPr>
      </w:pPr>
    </w:p>
    <w:p>
      <w:pPr>
        <w:jc w:val="both"/>
        <w:ind w:left="652"/>
        <w:spacing w:after="0" w:line="252" w:lineRule="auto"/>
        <w:rPr>
          <w:sz w:val="20"/>
          <w:szCs w:val="20"/>
          <w:color w:val="auto"/>
        </w:rPr>
      </w:pPr>
      <w:r>
        <w:rPr>
          <w:rFonts w:ascii="Times New Roman" w:cs="Times New Roman" w:eastAsia="Times New Roman" w:hAnsi="Times New Roman"/>
          <w:sz w:val="18"/>
          <w:szCs w:val="18"/>
          <w:color w:val="auto"/>
        </w:rPr>
        <w:t>(b)            If the Earn-Out Statement is delivered by the Board to the NIP Shareholders in accordance with Clause 15.2(a), the NIP Shareholders shall be entitled to examine the books and records of any of the Group Companies for purposes of determining whether the Earn-Out Statement is accurate, provided that such examination shall be done at such NIP Shareholders' respective expenses, at reasonable times and upon reasonable notice to the Company. In the event that any of the NIP Shareholders dispute any amounts reflected on the Earn-Out Statement (an "</w:t>
      </w:r>
      <w:r>
        <w:rPr>
          <w:rFonts w:ascii="Times New Roman" w:cs="Times New Roman" w:eastAsia="Times New Roman" w:hAnsi="Times New Roman"/>
          <w:sz w:val="18"/>
          <w:szCs w:val="18"/>
          <w:b w:val="1"/>
          <w:bCs w:val="1"/>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such NIP Shareholder shall notify the Company in writing, within thirty (30) days after the delivery of the Earn-Out Statement, setting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the amount, nature and basis of the Earn-Out Dispute. For the avoidance of doubt, if no Earn-Out Dispute has been raised by any NIP Shareholder within thirty (30) days after the delivery of the Earn-Out Statement, it shall be deemed that such NIP Shareholder has consented that the Earn-Out Statement is accurate and the Earn-Out Requirement has been met. Within the following fourteen (14) days, the NIP Shareholder(s) and the VE Shareholders shall use their best efforts to resolve in good faith such Earn-Out Dispute, failing which, they shall within ten (10) days thereafter jointly engage and appoint an independent accountant (the "</w:t>
      </w:r>
      <w:r>
        <w:rPr>
          <w:rFonts w:ascii="Times New Roman" w:cs="Times New Roman" w:eastAsia="Times New Roman" w:hAnsi="Times New Roman"/>
          <w:sz w:val="18"/>
          <w:szCs w:val="18"/>
          <w:b w:val="1"/>
          <w:bCs w:val="1"/>
          <w:color w:val="auto"/>
        </w:rPr>
        <w:t>Earn-Out Accountant</w:t>
      </w:r>
      <w:r>
        <w:rPr>
          <w:rFonts w:ascii="Times New Roman" w:cs="Times New Roman" w:eastAsia="Times New Roman" w:hAnsi="Times New Roman"/>
          <w:sz w:val="18"/>
          <w:szCs w:val="18"/>
          <w:color w:val="auto"/>
        </w:rPr>
        <w:t>") which shall, within thirty (30) days from its appointment decide on the Earn-Out Dispute and communicate such decision in writing to all Shareholders. The decision of the Earn-Out Accountant shall be final and binding upon all parties to the Earn-Out Dispute and accordingly a declaratory judgment by a court of competent jurisdiction may be entered in accordance therewith. The fees and expenses of such accounting firm shall be borne one-half by the NIP Shareholders and one-half by the VE Shareholders.</w:t>
      </w:r>
    </w:p>
    <w:p>
      <w:pPr>
        <w:spacing w:after="0" w:line="200" w:lineRule="exact"/>
        <w:rPr>
          <w:sz w:val="20"/>
          <w:szCs w:val="20"/>
          <w:color w:val="auto"/>
        </w:rPr>
      </w:pPr>
    </w:p>
    <w:p>
      <w:pPr>
        <w:spacing w:after="0" w:line="213" w:lineRule="exact"/>
        <w:rPr>
          <w:sz w:val="20"/>
          <w:szCs w:val="20"/>
          <w:color w:val="auto"/>
        </w:rPr>
      </w:pPr>
    </w:p>
    <w:p>
      <w:pPr>
        <w:ind w:left="11052"/>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20" w:name="page421"/>
    <w:bookmarkEnd w:id="420"/>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In the event that the NIP Shareholders are entitled to receive the Earn-Out Shares in accordance with this Clause 15, the VE Shareholders and the Company shall cooperate with the NIP Shareholders to take all Necessary Actions to effect the issuance of the Earn-Out Shares to the NIP Shareholders as soon as practicable and in any event within (10) days after (i) the date on which the Earn-Out Statement is delivered to the NIP Shareholders in accordance with accordance with Clause 15.2(a) if such Earn-Out Statement shows that the Earn-Out Requirement has not been met, (ii) the end of the Notification Period if no Earn-Out Statement has been delivered to the NIP Shareholders in accordance with accordance with Clause 15.2(a), or (iii) the date of decision of the Earn-Out Accountant in accordance with Clause 15.2(b), as the case may be.</w:t>
      </w:r>
    </w:p>
    <w:p>
      <w:pPr>
        <w:spacing w:after="0" w:line="187"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VE Founders and the VE Founder Holdcos hereby irrevocably and unconditionally secure and guarantee, on a joint and several basis, to the NIP Shareholders the punctual issuance of the Earn-Out Shares to the NIP Shareholders by the Company in accordance with this Clause 15. In the event that the Company fails to timely issue the Earn-Out Shares to the NIP Shareholders in accordance with this Clause 15 for any reason whatsoever, the NIP Shareholders shall have the right to request the VE Founder Holdcos (by issuing a notice to the VE Founder Holdcos) to transfer the same number of Shares held by them in aggregate as the number of the Earn-Out Shares to the NIP Shareholders either (i) without consideration or (ii) at nominal value per Share if the VE Founder Holdcos are unable to transfer their Shares to the NIP Shareholders without consideration under Applicable Law, as soon as practicable and in any event within ten (10) days upon receipt of the aforesaid notice from the NIP Shareholders. The VE Founders shall take all Necessary Actions to procure the VE Founder Holdcos to effect such transfer to the NIP Shareholders in accordance with this Clause 15.4.</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1" w:name="page422"/>
    <w:bookmarkEnd w:id="421"/>
    <w:p>
      <w:pPr>
        <w:ind w:left="640" w:hanging="632"/>
        <w:spacing w:after="0"/>
        <w:tabs>
          <w:tab w:leader="none" w:pos="640"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right by Preferred Shareholders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For purposes of this Clause 16:</w:t>
      </w:r>
    </w:p>
    <w:p>
      <w:pPr>
        <w:spacing w:after="0" w:line="225" w:lineRule="exact"/>
        <w:rPr>
          <w:sz w:val="20"/>
          <w:szCs w:val="20"/>
          <w:color w:val="auto"/>
        </w:rPr>
      </w:pPr>
    </w:p>
    <w:p>
      <w:pPr>
        <w:jc w:val="both"/>
        <w:ind w:left="1280" w:hanging="624"/>
        <w:spacing w:after="0" w:line="258" w:lineRule="auto"/>
        <w:tabs>
          <w:tab w:leader="none" w:pos="12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Preferred Share(s) requested by a VE Financial Shareholder for redemption by the Company pursuant to this Clause 16 are hereinafter referred to as the "</w:t>
      </w:r>
      <w:r>
        <w:rPr>
          <w:rFonts w:ascii="Times New Roman" w:cs="Times New Roman" w:eastAsia="Times New Roman" w:hAnsi="Times New Roman"/>
          <w:sz w:val="18"/>
          <w:szCs w:val="18"/>
          <w:b w:val="1"/>
          <w:bCs w:val="1"/>
          <w:color w:val="auto"/>
        </w:rPr>
        <w:t>Class A Redemption Shares</w:t>
      </w:r>
      <w:r>
        <w:rPr>
          <w:rFonts w:ascii="Times New Roman" w:cs="Times New Roman" w:eastAsia="Times New Roman" w:hAnsi="Times New Roman"/>
          <w:sz w:val="18"/>
          <w:szCs w:val="18"/>
          <w:color w:val="auto"/>
        </w:rPr>
        <w:t>"; any Class B Preferred Share(s) requested by a VE Financial Shareholder for redemption by the Company pursuant to this Clause 16 are hereinafter referred to as the "</w:t>
      </w:r>
      <w:r>
        <w:rPr>
          <w:rFonts w:ascii="Times New Roman" w:cs="Times New Roman" w:eastAsia="Times New Roman" w:hAnsi="Times New Roman"/>
          <w:sz w:val="18"/>
          <w:szCs w:val="18"/>
          <w:b w:val="1"/>
          <w:bCs w:val="1"/>
          <w:color w:val="auto"/>
        </w:rPr>
        <w:t>Class B Redemption Shares</w:t>
      </w:r>
      <w:r>
        <w:rPr>
          <w:rFonts w:ascii="Times New Roman" w:cs="Times New Roman" w:eastAsia="Times New Roman" w:hAnsi="Times New Roman"/>
          <w:sz w:val="18"/>
          <w:szCs w:val="18"/>
          <w:color w:val="auto"/>
        </w:rPr>
        <w:t>" (collectively with the Class A Redemption Shares, the "</w:t>
      </w:r>
      <w:r>
        <w:rPr>
          <w:rFonts w:ascii="Times New Roman" w:cs="Times New Roman" w:eastAsia="Times New Roman" w:hAnsi="Times New Roman"/>
          <w:sz w:val="18"/>
          <w:szCs w:val="18"/>
          <w:b w:val="1"/>
          <w:bCs w:val="1"/>
          <w:color w:val="auto"/>
        </w:rPr>
        <w:t>VE Redemption Shares</w:t>
      </w:r>
      <w:r>
        <w:rPr>
          <w:rFonts w:ascii="Times New Roman" w:cs="Times New Roman" w:eastAsia="Times New Roman" w:hAnsi="Times New Roman"/>
          <w:sz w:val="18"/>
          <w:szCs w:val="18"/>
          <w:color w:val="auto"/>
        </w:rPr>
        <w:t>", and such requesting VE Financial Shareholder(s), the "</w:t>
      </w:r>
      <w:r>
        <w:rPr>
          <w:rFonts w:ascii="Times New Roman" w:cs="Times New Roman" w:eastAsia="Times New Roman" w:hAnsi="Times New Roman"/>
          <w:sz w:val="18"/>
          <w:szCs w:val="18"/>
          <w:b w:val="1"/>
          <w:bCs w:val="1"/>
          <w:color w:val="auto"/>
        </w:rPr>
        <w:t>VE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B-1 Preferred Shares requested by the NIP Shareholders (in the case of a NIP Redemption Trigger Event) or by the VE Founder Holdcos (in the case of a NIP Special Redemption Trigger Event) for redemption by the Company pursuant to this Clause 16 are hereinafter referred to as the "</w:t>
      </w:r>
      <w:r>
        <w:rPr>
          <w:rFonts w:ascii="Times New Roman" w:cs="Times New Roman" w:eastAsia="Times New Roman" w:hAnsi="Times New Roman"/>
          <w:sz w:val="18"/>
          <w:szCs w:val="18"/>
          <w:b w:val="1"/>
          <w:bCs w:val="1"/>
          <w:color w:val="auto"/>
        </w:rPr>
        <w:t>NIP Redemption Shares</w:t>
      </w:r>
      <w:r>
        <w:rPr>
          <w:rFonts w:ascii="Times New Roman" w:cs="Times New Roman" w:eastAsia="Times New Roman" w:hAnsi="Times New Roman"/>
          <w:sz w:val="18"/>
          <w:szCs w:val="18"/>
          <w:color w:val="auto"/>
        </w:rPr>
        <w:t>" and the NIP Shareholder(s) holding such NIP Redemption Shares, the "</w:t>
      </w:r>
      <w:r>
        <w:rPr>
          <w:rFonts w:ascii="Times New Roman" w:cs="Times New Roman" w:eastAsia="Times New Roman" w:hAnsi="Times New Roman"/>
          <w:sz w:val="18"/>
          <w:szCs w:val="18"/>
          <w:b w:val="1"/>
          <w:bCs w:val="1"/>
          <w:color w:val="auto"/>
        </w:rPr>
        <w:t>NIP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Shareholders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Shares</w:t>
      </w:r>
      <w:r>
        <w:rPr>
          <w:rFonts w:ascii="Times New Roman" w:cs="Times New Roman" w:eastAsia="Times New Roman" w:hAnsi="Times New Roman"/>
          <w:sz w:val="18"/>
          <w:szCs w:val="18"/>
          <w:color w:val="auto"/>
        </w:rPr>
        <w:t>" means, collectively, the NIP Redemption Shares and the VE Redemption Shares;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Shareholder</w:t>
      </w:r>
      <w:r>
        <w:rPr>
          <w:rFonts w:ascii="Times New Roman" w:cs="Times New Roman" w:eastAsia="Times New Roman" w:hAnsi="Times New Roman"/>
          <w:sz w:val="18"/>
          <w:szCs w:val="18"/>
          <w:color w:val="auto"/>
        </w:rPr>
        <w:t>" means, collectively, the NIP Redemption Shareholders and the VE Redemption Shareholders.</w:t>
      </w:r>
    </w:p>
    <w:p>
      <w:pPr>
        <w:spacing w:after="0" w:line="229"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Within thirty (30) days after the VE Financial Shareholder(s) and/or the NIP Shareholder(s) become(s) aware of occurrence of a Redemption Trigger Event:</w:t>
      </w:r>
    </w:p>
    <w:p>
      <w:pPr>
        <w:spacing w:after="0" w:line="162" w:lineRule="exact"/>
        <w:rPr>
          <w:sz w:val="20"/>
          <w:szCs w:val="20"/>
          <w:color w:val="auto"/>
        </w:rPr>
      </w:pPr>
    </w:p>
    <w:p>
      <w:pPr>
        <w:jc w:val="both"/>
        <w:ind w:left="1280" w:hanging="624"/>
        <w:spacing w:after="0" w:line="266" w:lineRule="auto"/>
        <w:tabs>
          <w:tab w:leader="none" w:pos="12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VE Redemption Trigger Event, each VE Financial Shareholder may, by written notice to the Company, specify the relevant VE Redemption Trigger Event and request the Company to redeem any or all of the outstanding Class A Preferred Shares and/or Class B Preferred Shares (as the case may be) held by such VE Financial Shareholder in accordance with this Clause 16; and/or</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NIP Redemption Trigger Event, the NIP Shareholders (acting collectively) may, by written notice to the Company, specify the relevant NIP Redemption Trigger Event and request the Company to redeem all (but not some) of the outstanding Class B-1 Preferred Shares held by all NIP Shareholders in accordance with this Clause 16; and</w:t>
      </w:r>
    </w:p>
    <w:p>
      <w:pPr>
        <w:spacing w:after="0" w:line="175" w:lineRule="exact"/>
        <w:rPr>
          <w:rFonts w:ascii="Times New Roman" w:cs="Times New Roman" w:eastAsia="Times New Roman" w:hAnsi="Times New Roman"/>
          <w:sz w:val="18"/>
          <w:szCs w:val="18"/>
          <w:color w:val="auto"/>
        </w:rPr>
      </w:pPr>
    </w:p>
    <w:p>
      <w:pPr>
        <w:jc w:val="both"/>
        <w:ind w:left="1280" w:right="20" w:hanging="624"/>
        <w:spacing w:after="0" w:line="266" w:lineRule="auto"/>
        <w:tabs>
          <w:tab w:leader="none" w:pos="12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NIP Special Redemption Trigger Event, the VE Founder Holdcos may (acting collectively), by written notice to the NIP Shareholders and the Company, specify the relevant NIP Special Redemption Trigger Event and request the Company to redeem all (but not some) of the outstanding Class B-1 Preferred Shares held by all NIP Shareholders in accordance with this Clause 16</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a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2" w:name="page423"/>
    <w:bookmarkEnd w:id="422"/>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Following receipt of any Redemption Request, the Company shall within thirty (30) days thereafter deliver a written notice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all other Preferred Shareholders, at the address last shown on the register of members of the Company for such holders. A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shall:</w:t>
      </w:r>
    </w:p>
    <w:p>
      <w:pPr>
        <w:spacing w:after="0" w:line="175" w:lineRule="exact"/>
        <w:rPr>
          <w:sz w:val="20"/>
          <w:szCs w:val="20"/>
          <w:color w:val="auto"/>
        </w:rPr>
      </w:pPr>
    </w:p>
    <w:p>
      <w:pPr>
        <w:ind w:left="1280" w:hanging="624"/>
        <w:spacing w:after="0" w:line="282" w:lineRule="auto"/>
        <w:tabs>
          <w:tab w:leader="none" w:pos="12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redemption of VE Redemption Shares, specify the proposed VE Redemption Date and the VE Redemption Price (including the basis of its calculation pursuant to Clause 16.4);</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redemption of NIP Redemption Shares, specify the proposed NIP Redemption Date and include drafts of all necessary documents required under Applicable Laws to be to be signed, executed and/or delivered by the NIP Redemption Shareholders (if any) for effecting the redemption of all NIP Redemption Shares in accordance with Clauses 16.8 to 16.16; and</w:t>
      </w:r>
    </w:p>
    <w:p>
      <w:pPr>
        <w:spacing w:after="0" w:line="17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each Redemption Shareholder to submit its share certificate(s) (or an affidavit in respect of any lost certificates) with respect to its Redemption Shares to the Company on or before the VE Redemption Date or the NIP Redemption Date (as the case may be).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by VE Redemption Shareholders</w:t>
      </w:r>
    </w:p>
    <w:p>
      <w:pPr>
        <w:spacing w:after="0" w:line="225"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redemption price for each VE Redemption Share (the "</w:t>
      </w:r>
      <w:r>
        <w:rPr>
          <w:rFonts w:ascii="Times New Roman" w:cs="Times New Roman" w:eastAsia="Times New Roman" w:hAnsi="Times New Roman"/>
          <w:sz w:val="18"/>
          <w:szCs w:val="18"/>
          <w:b w:val="1"/>
          <w:bCs w:val="1"/>
          <w:color w:val="auto"/>
        </w:rPr>
        <w:t>VE Redemption Price</w:t>
      </w:r>
      <w:r>
        <w:rPr>
          <w:rFonts w:ascii="Times New Roman" w:cs="Times New Roman" w:eastAsia="Times New Roman" w:hAnsi="Times New Roman"/>
          <w:sz w:val="18"/>
          <w:szCs w:val="18"/>
          <w:color w:val="auto"/>
        </w:rPr>
        <w:t>") redeemed pursuant to this Clause 16 shall be equal to the higher of the following:</w:t>
      </w:r>
    </w:p>
    <w:p>
      <w:pPr>
        <w:spacing w:after="0" w:line="159" w:lineRule="exact"/>
        <w:rPr>
          <w:sz w:val="20"/>
          <w:szCs w:val="20"/>
          <w:color w:val="auto"/>
        </w:rPr>
      </w:pPr>
    </w:p>
    <w:p>
      <w:pPr>
        <w:ind w:left="1280" w:hanging="624"/>
        <w:spacing w:after="0"/>
        <w:tabs>
          <w:tab w:leader="none" w:pos="12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calculated as follows:</w:t>
      </w:r>
    </w:p>
    <w:p>
      <w:pPr>
        <w:spacing w:after="0" w:line="22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 B – 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 Initial Subscription Price of the VE Redemption Share;</w:t>
      </w:r>
    </w:p>
    <w:p>
      <w:pPr>
        <w:spacing w:after="0" w:line="225"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A x 8% x (number of days between the Initial Subscription Date and the VE Redemption Date)/365</w:t>
      </w:r>
      <w:r>
        <w:rPr>
          <w:rFonts w:ascii="Times New Roman" w:cs="Times New Roman" w:eastAsia="Times New Roman" w:hAnsi="Times New Roman"/>
          <w:sz w:val="18"/>
          <w:szCs w:val="18"/>
          <w:color w:val="auto"/>
        </w:rPr>
        <w:t>, being the amount of guaranteed return accrued with respect to the VE Redemption Share as of the VE Redemption Date by applying an annual interest rate of eight percent (8%); and</w:t>
      </w:r>
    </w:p>
    <w:p>
      <w:pPr>
        <w:spacing w:after="0" w:line="171"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 the total amount of cash distributed by the Company and received by the VE Redemption Shareholder per VE Redemption Share (whether by way of dividend or other forms of distribution to Shareholders as permitted by Applicable Laws) during the period between the Initial Subscription Date and the VE Redemption Date; or</w:t>
      </w:r>
    </w:p>
    <w:p>
      <w:pPr>
        <w:spacing w:after="0" w:line="175" w:lineRule="exact"/>
        <w:rPr>
          <w:sz w:val="20"/>
          <w:szCs w:val="20"/>
          <w:color w:val="auto"/>
        </w:rPr>
      </w:pPr>
    </w:p>
    <w:p>
      <w:pPr>
        <w:ind w:left="1280" w:hanging="624"/>
        <w:spacing w:after="0"/>
        <w:tabs>
          <w:tab w:leader="none" w:pos="12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calculated as follows:</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D x ( E / F) / 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 the net asset value of the Company (as audited by an Independent Valuer);</w:t>
      </w:r>
    </w:p>
    <w:p>
      <w:pPr>
        <w:spacing w:after="0" w:line="225" w:lineRule="exact"/>
        <w:rPr>
          <w:sz w:val="20"/>
          <w:szCs w:val="20"/>
          <w:color w:val="auto"/>
        </w:rPr>
      </w:pPr>
    </w:p>
    <w:p>
      <w:pPr>
        <w:ind w:left="19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 an amount equivalent to such portion of the Company's issued share capital that is attributable to the total subscription monies paid by the VE Redemption Shareholders in respect of the total outstanding VE Redemption Shares in issue;</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3" w:name="page424"/>
    <w:bookmarkEnd w:id="423"/>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 the total amount of issued share capital in the Company;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 the total number of VE Redemption Shares in issue.</w:t>
      </w:r>
    </w:p>
    <w:p>
      <w:pPr>
        <w:spacing w:after="0" w:line="229"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The redemption of any Class B Redemption Shares pursuant to this Clause 16 shall take place at such date and location designated by all the VE Directors, but shall in any event take place after the NIP Redemption Date (the "</w:t>
      </w:r>
      <w:r>
        <w:rPr>
          <w:rFonts w:ascii="Times New Roman" w:cs="Times New Roman" w:eastAsia="Times New Roman" w:hAnsi="Times New Roman"/>
          <w:sz w:val="18"/>
          <w:szCs w:val="18"/>
          <w:b w:val="1"/>
          <w:bCs w:val="1"/>
          <w:color w:val="auto"/>
        </w:rPr>
        <w:t>Class B Redemption Date</w:t>
      </w:r>
      <w:r>
        <w:rPr>
          <w:rFonts w:ascii="Times New Roman" w:cs="Times New Roman" w:eastAsia="Times New Roman" w:hAnsi="Times New Roman"/>
          <w:sz w:val="18"/>
          <w:szCs w:val="18"/>
          <w:color w:val="auto"/>
        </w:rPr>
        <w:t>"). On the Class B Redemption Date, subject to Applicable Laws, the Company shall, from any source of assets (other than the shares of the NIP Group Companies) or funds legally available therefor (the "</w:t>
      </w:r>
      <w:r>
        <w:rPr>
          <w:rFonts w:ascii="Times New Roman" w:cs="Times New Roman" w:eastAsia="Times New Roman" w:hAnsi="Times New Roman"/>
          <w:sz w:val="18"/>
          <w:szCs w:val="18"/>
          <w:b w:val="1"/>
          <w:bCs w:val="1"/>
          <w:color w:val="auto"/>
        </w:rPr>
        <w:t>VE Redemption Funds</w:t>
      </w:r>
      <w:r>
        <w:rPr>
          <w:rFonts w:ascii="Times New Roman" w:cs="Times New Roman" w:eastAsia="Times New Roman" w:hAnsi="Times New Roman"/>
          <w:sz w:val="18"/>
          <w:szCs w:val="18"/>
          <w:color w:val="auto"/>
        </w:rPr>
        <w:t>"), redeem each Class B Redemption Share that has been submitted for redemption by paying in cash therefor the VE Redemption Price, against such certificates representing such Class B Redemption Shares (or an affidavit in respect of any lost certificates) as surrendered by the VE Redemption Shareholder (by way of delivery of such original copies of the same to the Company's registered office). For the avoidance of doubt, none of the assets and funds of the NIP Group Companies shall form part of the VE Redemption Funds.</w:t>
      </w:r>
    </w:p>
    <w:p>
      <w:pPr>
        <w:spacing w:after="0" w:line="192"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The redemption of any Class A Redemption Shares pursuant to this Clause 16 shall take place at such date and location designated by all the VE Directors, but shall in any event take place after the NIP Redemption Date and the Class B Redemption Date (the "</w:t>
      </w:r>
      <w:r>
        <w:rPr>
          <w:rFonts w:ascii="Times New Roman" w:cs="Times New Roman" w:eastAsia="Times New Roman" w:hAnsi="Times New Roman"/>
          <w:sz w:val="18"/>
          <w:szCs w:val="18"/>
          <w:b w:val="1"/>
          <w:bCs w:val="1"/>
          <w:color w:val="auto"/>
        </w:rPr>
        <w:t>Class A Redemption Date</w:t>
      </w:r>
      <w:r>
        <w:rPr>
          <w:rFonts w:ascii="Times New Roman" w:cs="Times New Roman" w:eastAsia="Times New Roman" w:hAnsi="Times New Roman"/>
          <w:sz w:val="18"/>
          <w:szCs w:val="18"/>
          <w:color w:val="auto"/>
        </w:rPr>
        <w:t>", collectively with the Class B Redemption Date, the "</w:t>
      </w:r>
      <w:r>
        <w:rPr>
          <w:rFonts w:ascii="Times New Roman" w:cs="Times New Roman" w:eastAsia="Times New Roman" w:hAnsi="Times New Roman"/>
          <w:sz w:val="18"/>
          <w:szCs w:val="18"/>
          <w:b w:val="1"/>
          <w:bCs w:val="1"/>
          <w:color w:val="auto"/>
        </w:rPr>
        <w:t>VE Redemption Date</w:t>
      </w:r>
      <w:r>
        <w:rPr>
          <w:rFonts w:ascii="Times New Roman" w:cs="Times New Roman" w:eastAsia="Times New Roman" w:hAnsi="Times New Roman"/>
          <w:sz w:val="18"/>
          <w:szCs w:val="18"/>
          <w:color w:val="auto"/>
        </w:rPr>
        <w:t>"). On the Class A Redemption Date, subject to Applicable Laws, the Company shall, from any remaining VE Redemption Funds, redeem each Class A Redemption Share that has been submitted for redemption by paying in cash therefor the VE Redemption Price, against such certificates representing such Class A Redemption Shares (or an affidavit in respect of any lost certificates) as surrendered by the VE Redemption Shareholder (by way of delivery of such original copies of the same to the Company's registered office).</w:t>
      </w:r>
    </w:p>
    <w:p>
      <w:pPr>
        <w:spacing w:after="0" w:line="18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All VE Redemption Funds shall be paid and applied on the VE Redemption Date for payment to the VE Redemption Shareholders. From and after a respective VE Redemption Date, if the VE Redemption Price has been received in full by the VE Redemption Shareholder, all rights of such VE Redemption Shareholder shall cease with respect to such VE Redemption Shares, and such VE Redemption Shares shall be cancelled and not thereafter be transferred or be deemed outstanding for any purpose whatsoever.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by NIP Redemption Shareholders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color w:val="auto"/>
        </w:rPr>
        <w:t>The total redemption price for all NIP Redemption Shares (the "</w:t>
      </w:r>
      <w:r>
        <w:rPr>
          <w:rFonts w:ascii="Times New Roman" w:cs="Times New Roman" w:eastAsia="Times New Roman" w:hAnsi="Times New Roman"/>
          <w:sz w:val="18"/>
          <w:szCs w:val="18"/>
          <w:b w:val="1"/>
          <w:bCs w:val="1"/>
          <w:color w:val="auto"/>
        </w:rPr>
        <w:t>NIP Redemption Price</w:t>
      </w:r>
      <w:r>
        <w:rPr>
          <w:rFonts w:ascii="Times New Roman" w:cs="Times New Roman" w:eastAsia="Times New Roman" w:hAnsi="Times New Roman"/>
          <w:sz w:val="18"/>
          <w:szCs w:val="18"/>
          <w:color w:val="auto"/>
        </w:rPr>
        <w:t>") shall be equivalent to the then net asset value of all NIP Group Companies in aggregate as of the NIP Redemption Date. Payment of the NIP Redemption Price shall be settled by way of redemption in kind of all the shares held by the Company in the NIP Group Companies to the NIP Redemption Shareholders (the "</w:t>
      </w:r>
      <w:r>
        <w:rPr>
          <w:rFonts w:ascii="Times New Roman" w:cs="Times New Roman" w:eastAsia="Times New Roman" w:hAnsi="Times New Roman"/>
          <w:sz w:val="18"/>
          <w:szCs w:val="18"/>
          <w:b w:val="1"/>
          <w:bCs w:val="1"/>
          <w:color w:val="auto"/>
        </w:rPr>
        <w:t>NIP Share Distribution</w:t>
      </w:r>
      <w:r>
        <w:rPr>
          <w:rFonts w:ascii="Times New Roman" w:cs="Times New Roman" w:eastAsia="Times New Roman" w:hAnsi="Times New Roman"/>
          <w:sz w:val="18"/>
          <w:szCs w:val="18"/>
          <w:color w:val="auto"/>
        </w:rPr>
        <w:t>"). For the avoidance of doubt, the NIP Share Distribution constitutes full settlement of the NIP Redemption Price, and no cash, other assets or funds of the Company shall be payable by the Company whatsoever to satisfy the payment of the NIP Redemption Price.</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4" w:name="page425"/>
    <w:bookmarkEnd w:id="424"/>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color w:val="auto"/>
        </w:rPr>
        <w:t>The NIP Share Distribution shall take place within thirty (30) days of the date of the Redemption Notice (or such later date as may be agreed in writing by the NIP Redemption Shareholders and the Company may mutually agree in writing), but shall in any event take place prior to the VE Redemption Date (the "</w:t>
      </w:r>
      <w:r>
        <w:rPr>
          <w:rFonts w:ascii="Times New Roman" w:cs="Times New Roman" w:eastAsia="Times New Roman" w:hAnsi="Times New Roman"/>
          <w:sz w:val="18"/>
          <w:szCs w:val="18"/>
          <w:b w:val="1"/>
          <w:bCs w:val="1"/>
          <w:color w:val="auto"/>
        </w:rPr>
        <w:t>NIP Redemption Date</w:t>
      </w:r>
      <w:r>
        <w:rPr>
          <w:rFonts w:ascii="Times New Roman" w:cs="Times New Roman" w:eastAsia="Times New Roman" w:hAnsi="Times New Roman"/>
          <w:sz w:val="18"/>
          <w:szCs w:val="18"/>
          <w:color w:val="auto"/>
        </w:rPr>
        <w:t>"). On the NIP Redemption Date, subject to Applicable Laws, the Company shall take all Necessary Actions to effect the NIP Share Distribution (including but not limited to obtaining all necessary corporate approval for the NIP Share Distribution and procuring the due execution of all requisite instruments and documents by the relevant parties).</w:t>
      </w:r>
    </w:p>
    <w:p>
      <w:pPr>
        <w:spacing w:after="0" w:line="183"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16.10</w:t>
        <w:tab/>
        <w:t>In the event that the Company is unable to effect the NIP Share Distribution under the Applicable Laws, the Company shall, subject to Applicable Laws, transfer the shares in each of the NIP Group Companies to the NIP Redemption Shareholders at nil consideration, on a pro-rata basis with respect to the Equity Ratio of such NIP Redemption Shareholders (the "</w:t>
      </w:r>
      <w:r>
        <w:rPr>
          <w:rFonts w:ascii="Times New Roman" w:cs="Times New Roman" w:eastAsia="Times New Roman" w:hAnsi="Times New Roman"/>
          <w:sz w:val="18"/>
          <w:szCs w:val="18"/>
          <w:b w:val="1"/>
          <w:bCs w:val="1"/>
          <w:color w:val="auto"/>
        </w:rPr>
        <w:t>NIP Share Transfer</w:t>
      </w:r>
      <w:r>
        <w:rPr>
          <w:rFonts w:ascii="Times New Roman" w:cs="Times New Roman" w:eastAsia="Times New Roman" w:hAnsi="Times New Roman"/>
          <w:sz w:val="18"/>
          <w:szCs w:val="18"/>
          <w:color w:val="auto"/>
        </w:rPr>
        <w:t>") and concurrently redeem the NIP Redemption Shares at nominal value in accordance to Applicable Laws.</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16.11</w:t>
        <w:tab/>
        <w:t>Upon completion of the NIP De-Merger, all rights of the NIP Redemption Shareholders shall cease with respect to the NIP Redemption Shares, and such NIP Redemption Shares shall be cancelled and not thereafter be transferred or be deemed outstanding for any purpose whatsoever (save in relation to the rights of such NIP Redemption Shareholders under Clause 16.12, where applicable).</w:t>
      </w:r>
    </w:p>
    <w:p>
      <w:pPr>
        <w:spacing w:after="0" w:line="176"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16.12</w:t>
        <w:tab/>
        <w:t>In the case of a NIP Redemption Trigger Event (but not a NIP Special Redemption Trigger Event, for the avoidance of doubt), the Company agrees and undertakes to pay the NIP Redemption Dividend (if any) in cash to the NIP Redemption Shareholders based on their respective Equity Ratio as of the date of occurrence of the NIP Redemption Trigger Event (the "</w:t>
      </w:r>
      <w:r>
        <w:rPr>
          <w:rFonts w:ascii="Times New Roman" w:cs="Times New Roman" w:eastAsia="Times New Roman" w:hAnsi="Times New Roman"/>
          <w:sz w:val="18"/>
          <w:szCs w:val="18"/>
          <w:b w:val="1"/>
          <w:bCs w:val="1"/>
          <w:color w:val="auto"/>
        </w:rPr>
        <w:t>NIP Dividend Distribution</w:t>
      </w:r>
      <w:r>
        <w:rPr>
          <w:rFonts w:ascii="Times New Roman" w:cs="Times New Roman" w:eastAsia="Times New Roman" w:hAnsi="Times New Roman"/>
          <w:sz w:val="18"/>
          <w:szCs w:val="18"/>
          <w:color w:val="auto"/>
        </w:rPr>
        <w:t>"), provided that if the Company does not have sufficient funds to satisfy payment of the NIP Dividend Distribution and the VE Redemption Price for all VE Redemption Shares at the same time, then the NIP Dividend Distribution shall only take place after completion of the redemption of all VE Redemption Shares, and the Company shall thereafter use all of its remaining assets or funds (to the extent legally available) to settle the NIP Dividend Distribution.</w:t>
      </w:r>
    </w:p>
    <w:p>
      <w:pPr>
        <w:spacing w:after="0" w:line="187"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16.13</w:t>
        <w:tab/>
        <w:t>In the case of a NIP Redemption Trigger Event (but not a NIP Special Redemption Trigger Event or a Liquidation Event, for the avoidance of doubt):</w:t>
      </w:r>
    </w:p>
    <w:p>
      <w:pPr>
        <w:spacing w:after="0" w:line="162" w:lineRule="exact"/>
        <w:rPr>
          <w:sz w:val="20"/>
          <w:szCs w:val="20"/>
          <w:color w:val="auto"/>
        </w:rPr>
      </w:pPr>
    </w:p>
    <w:p>
      <w:pPr>
        <w:ind w:left="1280" w:hanging="624"/>
        <w:spacing w:after="0" w:line="282" w:lineRule="auto"/>
        <w:tabs>
          <w:tab w:leader="none" w:pos="12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 Founders hereby undertakes and covenants to the NIP Redemption Shareholders that he shall take all Necessary Actions permissible under Applicable Laws to procure that:</w:t>
      </w:r>
    </w:p>
    <w:p>
      <w:pPr>
        <w:spacing w:after="0" w:line="161" w:lineRule="exact"/>
        <w:rPr>
          <w:rFonts w:ascii="Times New Roman" w:cs="Times New Roman" w:eastAsia="Times New Roman" w:hAnsi="Times New Roman"/>
          <w:sz w:val="18"/>
          <w:szCs w:val="18"/>
          <w:color w:val="auto"/>
        </w:rPr>
      </w:pPr>
    </w:p>
    <w:p>
      <w:pPr>
        <w:ind w:left="1920" w:right="20" w:hanging="616"/>
        <w:spacing w:after="0" w:line="282" w:lineRule="auto"/>
        <w:tabs>
          <w:tab w:leader="none" w:pos="192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solvent as at the NIP Redemption Date for purposes of effecting the NIP De-Merger and shall remain solvent for at least six (6) months thereafter; and</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1" w:lineRule="auto"/>
        <w:tabs>
          <w:tab w:leader="none" w:pos="192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NIP De-Merger shall be carried out by the Company in accordance with all Applicable Laws (including but not limited to applicable insolvency laws) such that the NIP De-Merger and its validity will not be subject to any dispute, controversy or claim (of any and every kind or type, whether based on contract, tort, statute, regulation, or otherwise, including any dispute as to the validity and enforceability of the NIP De-Merger) ("</w:t>
      </w:r>
      <w:r>
        <w:rPr>
          <w:rFonts w:ascii="Times New Roman" w:cs="Times New Roman" w:eastAsia="Times New Roman" w:hAnsi="Times New Roman"/>
          <w:sz w:val="18"/>
          <w:szCs w:val="18"/>
          <w:b w:val="1"/>
          <w:bCs w:val="1"/>
          <w:color w:val="auto"/>
        </w:rPr>
        <w:t>NIP De-Merger Dispute</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5" w:name="page426"/>
    <w:bookmarkEnd w:id="425"/>
    <w:p>
      <w:pPr>
        <w:ind w:left="1280" w:hanging="624"/>
        <w:spacing w:after="0" w:line="282" w:lineRule="auto"/>
        <w:tabs>
          <w:tab w:leader="none" w:pos="12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 Founders shall be jointly and severally liable to indemnify and hold harmless each of the NIP Redemption Shareholders for any Losses arising out of, or related to any NIP De-Merger Dispute.</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16.14</w:t>
        <w:tab/>
        <w:t>In the case of a NIP Special Redemption Trigger Event, the Shareholders shall not be liable for any Losses arising out of, or related to any NIP De-Merger Dispute.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funds for redemption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16.15</w:t>
        <w:tab/>
        <w:t>If:</w:t>
      </w:r>
    </w:p>
    <w:p>
      <w:pPr>
        <w:spacing w:after="0" w:line="225" w:lineRule="exact"/>
        <w:rPr>
          <w:sz w:val="20"/>
          <w:szCs w:val="20"/>
          <w:color w:val="auto"/>
        </w:rPr>
      </w:pPr>
    </w:p>
    <w:p>
      <w:pPr>
        <w:jc w:val="both"/>
        <w:ind w:left="1280" w:hanging="624"/>
        <w:spacing w:after="0" w:line="266" w:lineRule="auto"/>
        <w:tabs>
          <w:tab w:leader="none" w:pos="12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NIP Redemption Date, the Company is unable to (i) effect the NIP De-Merger, (ii) settle payment of the NIP Redemption Dividend, and/or (iii) otherwise fulfil any of its obligations under this Clause 16 (collectively, the "</w:t>
      </w:r>
      <w:r>
        <w:rPr>
          <w:rFonts w:ascii="Times New Roman" w:cs="Times New Roman" w:eastAsia="Times New Roman" w:hAnsi="Times New Roman"/>
          <w:sz w:val="18"/>
          <w:szCs w:val="18"/>
          <w:b w:val="1"/>
          <w:bCs w:val="1"/>
          <w:color w:val="auto"/>
        </w:rPr>
        <w:t>Redemption Obligations</w:t>
      </w:r>
      <w:r>
        <w:rPr>
          <w:rFonts w:ascii="Times New Roman" w:cs="Times New Roman" w:eastAsia="Times New Roman" w:hAnsi="Times New Roman"/>
          <w:sz w:val="18"/>
          <w:szCs w:val="18"/>
          <w:color w:val="auto"/>
        </w:rPr>
        <w:t>"), whether due to restrictions under Applicable Laws or any other reasons; and/or</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VE Redemption Date, there remain any outstanding VE Redemption Shares to be redeemed by the Company, or the Company has yet to pay all VE Redemption Shareholders in full with respect to all outstanding VE Redemption Shares by reason of insufficient VE Redemption Funds,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w:t>
      </w:r>
    </w:p>
    <w:p>
      <w:pPr>
        <w:spacing w:after="0" w:line="225" w:lineRule="exact"/>
        <w:rPr>
          <w:sz w:val="20"/>
          <w:szCs w:val="20"/>
          <w:color w:val="auto"/>
        </w:rPr>
      </w:pPr>
    </w:p>
    <w:p>
      <w:pPr>
        <w:ind w:left="1280" w:hanging="624"/>
        <w:spacing w:after="0"/>
        <w:tabs>
          <w:tab w:leader="none" w:pos="12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Company shall, and each Shareholder shall approve the Company to:</w:t>
      </w:r>
    </w:p>
    <w:p>
      <w:pPr>
        <w:spacing w:after="0" w:line="225" w:lineRule="exact"/>
        <w:rPr>
          <w:rFonts w:ascii="Times New Roman" w:cs="Times New Roman" w:eastAsia="Times New Roman" w:hAnsi="Times New Roman"/>
          <w:sz w:val="18"/>
          <w:szCs w:val="18"/>
          <w:color w:val="auto"/>
        </w:rPr>
      </w:pPr>
    </w:p>
    <w:p>
      <w:pPr>
        <w:ind w:left="1920" w:right="20" w:hanging="616"/>
        <w:spacing w:after="0" w:line="282" w:lineRule="auto"/>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assets or funds of the Company that becomes legally available following the NIP Redemption Date to effect the NIP De-Merger; and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Necessary Actions permissible under Applicable Laws to fulfil its Redemption Obligations.</w:t>
      </w:r>
    </w:p>
    <w:p>
      <w:pPr>
        <w:spacing w:after="0" w:line="22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in any event after the NIP Redemption Date, the Company shall, and each Shareholder shall procure the Company to:</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use all the VE Redemption Fund to pay to the Class B Preferred Shareholders who have made the Redemption Request on a pro-rata basis with reference to the amount of the VE Redemption Price each such Class B Preferred Shareholders is otherwise entitled to receive;</w:t>
      </w:r>
    </w:p>
    <w:p>
      <w:pPr>
        <w:spacing w:after="0" w:line="175"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after the distributions in foregoing (i) are made in full and if there are any remaining VE Redemption Funds, pay to the Class A Preferred Shareholders who have made the Redemption Request on a pro-rata basis with reference to the amount of Redemption Price each such Class A Redemption Shareholders is otherwise entitled to receive; and</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Necessary Actions permissible under Applicable Laws to fulfil its Redemption Obligations.</w:t>
      </w:r>
    </w:p>
    <w:p>
      <w:pPr>
        <w:spacing w:after="0" w:line="225"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16.16</w:t>
        <w:tab/>
        <w:t>In case of a NIP Redemption Trigger Event (but not a NIP Special Redemption Trigger Event or a Liquidation Event, for the avoidance of doubt), the VE Founder Parties shall be jointly and severally liable to take all Necessary Actions permissible under Applicable Laws to procure that the Company shall have the required funding to (i) complete the NIP De-Merger within six (6) months from the date of the Redemption Notice (or such other date as may be agreed in writing between the Company and all NIP Redemption Shareholders), and (ii) fulfil all other Redemption Obligations as soon as possible thereafter, provided that the total liability of the VE Founder Parties under this Clause 16.5 shall be subject to Clause 23.5.</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6" w:name="page427"/>
    <w:bookmarkEnd w:id="426"/>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16.17</w:t>
        <w:tab/>
        <w:t>The VE Founder Parties shall jointly and severally guarantee the Redemption Obligations of the Company to the VE Redemption Shareholders to the extent of the proceeds received from the disposal of the Company’s Shares held by them at that time in case the VE Redemption Trigger Event are those listed in items (2) to (8) under Part A of Schedule 11. In particular, in the event that the due rights of the Class A Preferred Shareholders and/or the Class B Preferred Shareholders are void or revocable because of any or all of the VE Founders, the Class A Preferred Shareholders and/or the Class B Preferred Shareholders shall be entitled to request such VE Founder(s) who engage in the above-mentioned conducts to redeem all or part of the VE Redemption Shares held by them in the amount of VE Redemption Price set forth in this Clause 16.</w:t>
      </w:r>
    </w:p>
    <w:p>
      <w:pPr>
        <w:spacing w:after="0" w:line="187"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16.18</w:t>
        <w:tab/>
        <w:t>Upon the completion of distribution of the available redemption funds or upon the completion of the sale and purchase of the VE Redemption Shares to be acquired by the VE Founder Parties, all rights of such VE Redemption Shareholders shall cease with respect to such VE Redemption Shares, and such VE Redemption Shares shall be cancelled and not thereafter be transferred or be deemed outstanding for any purpose whatsoever in case of redemption.</w:t>
      </w:r>
    </w:p>
    <w:p>
      <w:pPr>
        <w:spacing w:after="0" w:line="180"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16.19</w:t>
        <w:tab/>
        <w:t>The redemption rights provided under this Clause 16 shall be terminated upon the consummation of a Qualified IPO or the occurrence of a Liquidation Event.</w:t>
      </w:r>
    </w:p>
    <w:p>
      <w:pPr>
        <w:spacing w:after="0" w:line="158" w:lineRule="exact"/>
        <w:rPr>
          <w:sz w:val="20"/>
          <w:szCs w:val="20"/>
          <w:color w:val="auto"/>
        </w:rPr>
      </w:pPr>
    </w:p>
    <w:p>
      <w:pPr>
        <w:ind w:left="640" w:hanging="632"/>
        <w:spacing w:after="0"/>
        <w:tabs>
          <w:tab w:leader="none" w:pos="640"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Preference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Upon any liquidation, dissolution, or winding up of the Company, whether voluntary or involuntary (a "</w:t>
      </w:r>
      <w:r>
        <w:rPr>
          <w:rFonts w:ascii="Times New Roman" w:cs="Times New Roman" w:eastAsia="Times New Roman" w:hAnsi="Times New Roman"/>
          <w:sz w:val="17"/>
          <w:szCs w:val="17"/>
          <w:b w:val="1"/>
          <w:bCs w:val="1"/>
          <w:color w:val="auto"/>
        </w:rPr>
        <w:t>Liquidation Event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80" w:hanging="624"/>
        <w:spacing w:after="0" w:line="282" w:lineRule="auto"/>
        <w:tabs>
          <w:tab w:leader="none" w:pos="12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redeem all of the outstanding Class B-1 Preferred Shares held by all NIP Shareholders by completing the NIP De-Merger in accordance with Clause 16.</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except for all shares of the NIP Group Companies, no other assets or funds shall be payable for the redemption of the Class B-1 Preferred Shares in case of Liquidation Event.</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NIP De-Merger for purposes of Clause 17.1(a), all assets and funds of the Company thereafter legally available for distribution to the remaining Shareholders (the "</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shall be distributed as follows:</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54" w:lineRule="auto"/>
        <w:tabs>
          <w:tab w:leader="none" w:pos="192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in preference to any distribution or payment to the Class A Preferred Shareholders and the Ordinary Shareholders, each Class B Preferred Shareholder shall be entitled to receive, on parity with all other Class B Preferred Shareholders and on a pro rata basis (calculated on a fully diluted and as-converted basis), an amount equal to the aggregate total of the Initial Subscription Price with respect to each Preferred Share held by such Class B Preferred Shareholder ("</w:t>
      </w:r>
      <w:r>
        <w:rPr>
          <w:rFonts w:ascii="Times New Roman" w:cs="Times New Roman" w:eastAsia="Times New Roman" w:hAnsi="Times New Roman"/>
          <w:sz w:val="18"/>
          <w:szCs w:val="18"/>
          <w:b w:val="1"/>
          <w:bCs w:val="1"/>
          <w:color w:val="auto"/>
        </w:rPr>
        <w:t>Class B Preferred 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If, upon such Liquidation Event, the Liquidation Funds are insufficient to pay all of the Class B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their respective Class B Preferred Liquidation Amount, then the Liquidation Funds shall be distributed among the Class B Preferred Shareholders on a pro rata basis (calculated on a fully diluted and as-converted basis) with respect to the full Class B Preferred Liquidation Amount which each Class B Preferred Shareholder shall otherwise be entitled to receive under this Clause 17.1.</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7" w:name="page428"/>
    <w:bookmarkEnd w:id="427"/>
    <w:p>
      <w:pPr>
        <w:jc w:val="both"/>
        <w:ind w:left="1912" w:hanging="616"/>
        <w:spacing w:after="0" w:line="254" w:lineRule="auto"/>
        <w:tabs>
          <w:tab w:leader="none" w:pos="1912"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distribution or payment in full of the Class B Preferred Liquidation Amount pursuant to Clause 17.1(c)(i), each Class A Preferred Shareholder shall be entitled to receive, on parity with all other Class A Preferred Shareholders and on a pro rata basis, an amount equal to the aggregate total of the Initial Subscription Price with respect to each Preferred Share held by such Class A Preferred Shareholder ("</w:t>
      </w:r>
      <w:r>
        <w:rPr>
          <w:rFonts w:ascii="Times New Roman" w:cs="Times New Roman" w:eastAsia="Times New Roman" w:hAnsi="Times New Roman"/>
          <w:sz w:val="18"/>
          <w:szCs w:val="18"/>
          <w:b w:val="1"/>
          <w:bCs w:val="1"/>
          <w:color w:val="auto"/>
        </w:rPr>
        <w:t>Class A Preferred Liquidation Amount</w:t>
      </w:r>
      <w:r>
        <w:rPr>
          <w:rFonts w:ascii="Times New Roman" w:cs="Times New Roman" w:eastAsia="Times New Roman" w:hAnsi="Times New Roman"/>
          <w:sz w:val="18"/>
          <w:szCs w:val="18"/>
          <w:color w:val="auto"/>
        </w:rPr>
        <w:t>", together with Class B Preferred Liquidation Amount, "</w:t>
      </w:r>
      <w:r>
        <w:rPr>
          <w:rFonts w:ascii="Times New Roman" w:cs="Times New Roman" w:eastAsia="Times New Roman" w:hAnsi="Times New Roman"/>
          <w:sz w:val="18"/>
          <w:szCs w:val="18"/>
          <w:b w:val="1"/>
          <w:bCs w:val="1"/>
          <w:color w:val="auto"/>
        </w:rPr>
        <w:t>Preferred Liquidation Amount</w:t>
      </w:r>
      <w:r>
        <w:rPr>
          <w:rFonts w:ascii="Times New Roman" w:cs="Times New Roman" w:eastAsia="Times New Roman" w:hAnsi="Times New Roman"/>
          <w:sz w:val="18"/>
          <w:szCs w:val="18"/>
          <w:color w:val="auto"/>
        </w:rPr>
        <w:t>"); if, upon such Liquidation Event, the Liquidation Funds are insufficient to pay all of the Class A Preferred Shareholders their respective Class A Preferred Liquidation Amount, then the Liquidation Funds shall be distributed among the Class A Preferred Shareholders on a pro-rata basis with respect to the full Class A Preferred Liquidation Amount which each Preferred Class A Shareholders shall otherwise be entitled to receive under this Clause 17.1; and</w:t>
      </w:r>
    </w:p>
    <w:p>
      <w:pPr>
        <w:spacing w:after="0" w:line="191" w:lineRule="exact"/>
        <w:rPr>
          <w:rFonts w:ascii="Times New Roman" w:cs="Times New Roman" w:eastAsia="Times New Roman" w:hAnsi="Times New Roman"/>
          <w:sz w:val="18"/>
          <w:szCs w:val="18"/>
          <w:color w:val="auto"/>
        </w:rPr>
      </w:pPr>
    </w:p>
    <w:p>
      <w:pPr>
        <w:jc w:val="both"/>
        <w:ind w:left="1912" w:hanging="616"/>
        <w:spacing w:after="0" w:line="266" w:lineRule="auto"/>
        <w:tabs>
          <w:tab w:leader="none" w:pos="1912"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distribution or payment in full of the Preferred Liquidation Amount of all Preferred Shareholders in accordance with this Clause 17.1, any remaining amount of the Liquidation Funds shall be distributed among all the Shareholders in proportion to such number of Ordinary Shares (calculated on an as-converted basis) held by them.</w:t>
      </w:r>
    </w:p>
    <w:p>
      <w:pPr>
        <w:spacing w:after="0" w:line="176" w:lineRule="exact"/>
        <w:rPr>
          <w:sz w:val="20"/>
          <w:szCs w:val="20"/>
          <w:color w:val="auto"/>
        </w:rPr>
      </w:pPr>
    </w:p>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A Change of Control shall be treated as a Liquidation Event pursuant to Clause 17.1 unless it is a Drag-Along Sale. All the proceeds or consideration received as a result of a Change of Control shall be distributed pursuant to Clause 17.1.</w:t>
      </w:r>
    </w:p>
    <w:p>
      <w:pPr>
        <w:spacing w:after="0" w:line="158" w:lineRule="exact"/>
        <w:rPr>
          <w:sz w:val="20"/>
          <w:szCs w:val="20"/>
          <w:color w:val="auto"/>
        </w:rPr>
      </w:pPr>
    </w:p>
    <w:p>
      <w:pPr>
        <w:ind w:left="632" w:hanging="632"/>
        <w:spacing w:after="0"/>
        <w:tabs>
          <w:tab w:leader="none" w:pos="632"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w:t>
      </w:r>
    </w:p>
    <w:p>
      <w:pPr>
        <w:spacing w:after="0" w:line="229" w:lineRule="exact"/>
        <w:rPr>
          <w:sz w:val="20"/>
          <w:szCs w:val="20"/>
          <w:color w:val="auto"/>
        </w:rPr>
      </w:pPr>
    </w:p>
    <w:p>
      <w:pPr>
        <w:jc w:val="both"/>
        <w:ind w:left="632" w:right="20" w:hanging="633"/>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Each Founder hereby undertakes (severally but not jointly with other Founders) to each of the Company and the Shareholders that, during the Restricted Period, unless with the prior written consent of such Financial Shareholder(s) holding not less than two-thirds (2/3) of the total issued Preferred Shares, such Founder shall not, either on its own account or in conjunction with or on behalf of any person, firm or company:</w:t>
      </w:r>
    </w:p>
    <w:p>
      <w:pPr>
        <w:spacing w:after="0" w:line="176" w:lineRule="exact"/>
        <w:rPr>
          <w:sz w:val="20"/>
          <w:szCs w:val="20"/>
          <w:color w:val="auto"/>
        </w:rPr>
      </w:pPr>
    </w:p>
    <w:p>
      <w:pPr>
        <w:jc w:val="both"/>
        <w:ind w:left="1272" w:hanging="624"/>
        <w:spacing w:after="0" w:line="266" w:lineRule="auto"/>
        <w:tabs>
          <w:tab w:leader="none" w:pos="1272"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be engaged, concerned or interested directly or indirectly (whether as shareholder, director, employee, consultant, partner, agent or otherwise) in carrying on any Competing Business in any country or jurisdiction where any Group Company carries on the Business (or has carried on the Business within one (1) year prior to the date of such cesser), except for:</w:t>
      </w:r>
    </w:p>
    <w:p>
      <w:pPr>
        <w:spacing w:after="0" w:line="175" w:lineRule="exact"/>
        <w:rPr>
          <w:rFonts w:ascii="Times New Roman" w:cs="Times New Roman" w:eastAsia="Times New Roman" w:hAnsi="Times New Roman"/>
          <w:sz w:val="18"/>
          <w:szCs w:val="18"/>
          <w:color w:val="auto"/>
        </w:rPr>
      </w:pPr>
    </w:p>
    <w:p>
      <w:pPr>
        <w:ind w:left="1912" w:hanging="616"/>
        <w:spacing w:after="0" w:line="282" w:lineRule="auto"/>
        <w:tabs>
          <w:tab w:leader="none" w:pos="1912"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not more than one (1)% of the issued shares or debentures of any company engaging in any Competing Business which is listed on any recognised stock exchange; or</w:t>
      </w:r>
    </w:p>
    <w:p>
      <w:pPr>
        <w:spacing w:after="0" w:line="378" w:lineRule="exact"/>
        <w:rPr>
          <w:sz w:val="20"/>
          <w:szCs w:val="20"/>
          <w:color w:val="auto"/>
        </w:rPr>
      </w:pPr>
    </w:p>
    <w:p>
      <w:pPr>
        <w:ind w:left="11052"/>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28" w:name="page429"/>
    <w:bookmarkEnd w:id="428"/>
    <w:p>
      <w:pPr>
        <w:ind w:left="1920" w:hanging="616"/>
        <w:spacing w:after="0"/>
        <w:tabs>
          <w:tab w:leader="none" w:pos="192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any positions and/or performing any duties for any esports associations;</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58" w:lineRule="auto"/>
        <w:tabs>
          <w:tab w:leader="none" w:pos="12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 engage, solicit or entice away or attempt to employ, engage, solicit or entice away from any Group Company any person who is or shall have been at the date of or within one (1) year prior to such cesser an officer, manager, consultant or employee of any Group Company (regardless of whether or not such person would commit a breach of contract by reason of leaving such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restrictions shall not apply to any solicitations made pursuant to general advertising or through search firms that are not directed specifically at any of the foregoing persons of the Group Companies;</w:t>
      </w:r>
    </w:p>
    <w:p>
      <w:pPr>
        <w:spacing w:after="0" w:line="183"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entice away or attempt to solicit or entice away from any Group Company the custom of any person, firm, company or organisation who is or shall at any time within one (1) year prior to such cesser have been a major customer, client, or supplier of any Group Company or in the habit of dealing with any Group Company or enter into any contract with or accept any business from any such person, firm, company or organisation; and</w:t>
      </w:r>
    </w:p>
    <w:p>
      <w:pPr>
        <w:spacing w:after="0" w:line="179" w:lineRule="exact"/>
        <w:rPr>
          <w:rFonts w:ascii="Times New Roman" w:cs="Times New Roman" w:eastAsia="Times New Roman" w:hAnsi="Times New Roman"/>
          <w:sz w:val="18"/>
          <w:szCs w:val="18"/>
          <w:color w:val="auto"/>
        </w:rPr>
      </w:pPr>
    </w:p>
    <w:p>
      <w:pPr>
        <w:jc w:val="both"/>
        <w:ind w:left="1280" w:hanging="624"/>
        <w:spacing w:after="0" w:line="271" w:lineRule="auto"/>
        <w:tabs>
          <w:tab w:leader="none" w:pos="1280"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use of or disclose or divulge to any third party including, but not limited to any employee of such Shareholder any information relating to any Group Company,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this obligation shall not extend to information: (a) which is in or comes into the public domain otherwise than through the default of any of the Shareholders; or (b) which was already in the possession of such Shareholder prior to the negotiations between the Parties leading to the execution of this Agreement as evidenced by documentation in such Shareholder's possession at the date hereof (which shall be specified under the terms of the underlying licensing or assignment agreement) and shall exclude any Intellectual Property or other commercially sensitive information developed by the Group; or (c) the disclosure of which is agreed in writing by all Shareholders; or (d) which is properly available to the public or disclosed or divulged pursuant to an order of a court of competent jurisdiction; or (e) which is disclosed to an employee of such Shareholder and such disclosure is necessary to enable such employee properly to fulfil his duties as employee but subject to such obligations as are thereby imposed.</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For the purposes of this Clause 18,</w:t>
      </w:r>
    </w:p>
    <w:p>
      <w:pPr>
        <w:spacing w:after="0" w:line="221" w:lineRule="exact"/>
        <w:rPr>
          <w:sz w:val="20"/>
          <w:szCs w:val="20"/>
          <w:color w:val="auto"/>
        </w:rPr>
      </w:pPr>
    </w:p>
    <w:p>
      <w:pPr>
        <w:ind w:left="1280" w:hanging="624"/>
        <w:spacing w:after="0"/>
        <w:tabs>
          <w:tab w:leader="none" w:pos="12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Founder who is a Good Leaver, the period during which such Founder is a Director, an ultimate beneficial owner of the Company, and/or an employee of the Group; and</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Founder who is a Bad Leaver, (i) the period during which such Founder is a Director, an ultimate beneficial owner of the Company, and/or an employee of the Group, and (ii) a period of two (2) years after the date on which such Founder ceases to be a Director, an ultimate beneficial owner of the Company, and/or an employee of the Group (whichever is later);</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9" w:name="page430"/>
    <w:bookmarkEnd w:id="429"/>
    <w:p>
      <w:pPr>
        <w:ind w:left="1280" w:right="20" w:hanging="624"/>
        <w:spacing w:after="0" w:line="286" w:lineRule="auto"/>
        <w:tabs>
          <w:tab w:leader="none" w:pos="12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Bad Leaver</w:t>
      </w:r>
      <w:r>
        <w:rPr>
          <w:rFonts w:ascii="Times New Roman" w:cs="Times New Roman" w:eastAsia="Times New Roman" w:hAnsi="Times New Roman"/>
          <w:sz w:val="18"/>
          <w:szCs w:val="18"/>
          <w:color w:val="auto"/>
        </w:rPr>
        <w:t>" means a Founder who ceases to be a Director, an ultimate beneficial owner of the Company, and/or an employee of the Group for any of the following reasons:</w:t>
      </w:r>
    </w:p>
    <w:p>
      <w:pPr>
        <w:spacing w:after="0" w:line="158"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 VE Redemption Trigger Event or an NIP Redemption Trigger Event (in the case such Founder is a VE Founder), or occurrence of a NIP Special Redemption Trigger Event (in the case such Founder is a NIP Founder);</w:t>
      </w:r>
    </w:p>
    <w:p>
      <w:pPr>
        <w:spacing w:after="0" w:line="161" w:lineRule="exact"/>
        <w:rPr>
          <w:rFonts w:ascii="Times New Roman" w:cs="Times New Roman" w:eastAsia="Times New Roman" w:hAnsi="Times New Roman"/>
          <w:sz w:val="18"/>
          <w:szCs w:val="18"/>
          <w:color w:val="auto"/>
        </w:rPr>
      </w:pPr>
    </w:p>
    <w:p>
      <w:pPr>
        <w:ind w:left="1920" w:right="20" w:hanging="616"/>
        <w:spacing w:after="0" w:line="282" w:lineRule="auto"/>
        <w:tabs>
          <w:tab w:leader="none" w:pos="192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committed a Material Breach, or otherwise indirectly Transferred its Shares in violation of the terms of this Agreement; and</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terminated by the Group as an employee for reasons other than redundancy, retirement, or resignation with the consent of the Board or the board of the relevant Group Company (acting reasonably and in good faith having regard to any legitimate reasons submitted by such Founder).</w:t>
      </w:r>
    </w:p>
    <w:p>
      <w:pPr>
        <w:spacing w:after="0" w:line="171" w:lineRule="exact"/>
        <w:rPr>
          <w:rFonts w:ascii="Times New Roman" w:cs="Times New Roman" w:eastAsia="Times New Roman" w:hAnsi="Times New Roman"/>
          <w:sz w:val="18"/>
          <w:szCs w:val="18"/>
          <w:color w:val="auto"/>
        </w:rPr>
      </w:pPr>
    </w:p>
    <w:p>
      <w:pPr>
        <w:ind w:left="1280" w:hanging="624"/>
        <w:spacing w:after="0" w:line="286" w:lineRule="auto"/>
        <w:tabs>
          <w:tab w:leader="none" w:pos="12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Leaver</w:t>
      </w:r>
      <w:r>
        <w:rPr>
          <w:rFonts w:ascii="Times New Roman" w:cs="Times New Roman" w:eastAsia="Times New Roman" w:hAnsi="Times New Roman"/>
          <w:sz w:val="18"/>
          <w:szCs w:val="18"/>
          <w:color w:val="auto"/>
        </w:rPr>
        <w:t>" means a Founder who ceases to be a Director, an ultimate beneficial owner of the Company, and/or an employee of the Group, and is not a Bad Leaver.</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Each Founder shall procure that its Affiliates shall observe the restrictions contained in Clause 18.1.</w:t>
      </w:r>
    </w:p>
    <w:p>
      <w:pPr>
        <w:spacing w:after="0" w:line="221"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For as long as a Founder is a Director, a holder of Securities and/or an employee of the Group, if such Founder (the "</w:t>
      </w:r>
      <w:r>
        <w:rPr>
          <w:rFonts w:ascii="Times New Roman" w:cs="Times New Roman" w:eastAsia="Times New Roman" w:hAnsi="Times New Roman"/>
          <w:sz w:val="18"/>
          <w:szCs w:val="18"/>
          <w:b w:val="1"/>
          <w:bCs w:val="1"/>
          <w:color w:val="auto"/>
        </w:rPr>
        <w:t>Originating Founder</w:t>
      </w:r>
      <w:r>
        <w:rPr>
          <w:rFonts w:ascii="Times New Roman" w:cs="Times New Roman" w:eastAsia="Times New Roman" w:hAnsi="Times New Roman"/>
          <w:sz w:val="18"/>
          <w:szCs w:val="18"/>
          <w:color w:val="auto"/>
        </w:rPr>
        <w:t>") is offered or becomes aware of any project or new business opportunity that is similar to that of the Business (each, a "</w:t>
      </w:r>
      <w:r>
        <w:rPr>
          <w:rFonts w:ascii="Times New Roman" w:cs="Times New Roman" w:eastAsia="Times New Roman" w:hAnsi="Times New Roman"/>
          <w:sz w:val="18"/>
          <w:szCs w:val="18"/>
          <w:b w:val="1"/>
          <w:bCs w:val="1"/>
          <w:color w:val="auto"/>
        </w:rPr>
        <w:t>New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Opportunity</w:t>
      </w:r>
      <w:r>
        <w:rPr>
          <w:rFonts w:ascii="Times New Roman" w:cs="Times New Roman" w:eastAsia="Times New Roman" w:hAnsi="Times New Roman"/>
          <w:sz w:val="18"/>
          <w:szCs w:val="18"/>
          <w:color w:val="auto"/>
        </w:rPr>
        <w:t>"), whether directly or indirectly, the Originating Founder shall offer to the Company a right of first refusal to participate or take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New Business Opportunity by serving a written notice to the Company, setting out in reasonable details the background of the New Business Opportunity (including the proposed investment amount and expected return, to the extent applicable). The Company shall decide (as an Ordinary Board Matter) whether to accept or decline the New Business Opportunity by notifying the Originating Founder in writing within fifteen (15) days ("</w:t>
      </w:r>
      <w:r>
        <w:rPr>
          <w:rFonts w:ascii="Times New Roman" w:cs="Times New Roman" w:eastAsia="Times New Roman" w:hAnsi="Times New Roman"/>
          <w:sz w:val="18"/>
          <w:szCs w:val="18"/>
          <w:b w:val="1"/>
          <w:bCs w:val="1"/>
          <w:color w:val="auto"/>
        </w:rPr>
        <w:t>Opportunity Acceptance Period</w:t>
      </w:r>
      <w:r>
        <w:rPr>
          <w:rFonts w:ascii="Times New Roman" w:cs="Times New Roman" w:eastAsia="Times New Roman" w:hAnsi="Times New Roman"/>
          <w:sz w:val="18"/>
          <w:szCs w:val="18"/>
          <w:color w:val="auto"/>
        </w:rPr>
        <w:t>") upon receipt of the written notice from the Originating Founder. If the Company accepts the New Business Opportunity and enters into a legally binding, written agreement with any of the relevant counterparty(ies) ("</w:t>
      </w:r>
      <w:r>
        <w:rPr>
          <w:rFonts w:ascii="Times New Roman" w:cs="Times New Roman" w:eastAsia="Times New Roman" w:hAnsi="Times New Roman"/>
          <w:sz w:val="18"/>
          <w:szCs w:val="18"/>
          <w:b w:val="1"/>
          <w:bCs w:val="1"/>
          <w:color w:val="auto"/>
        </w:rPr>
        <w:t>Prospective Parties</w:t>
      </w:r>
      <w:r>
        <w:rPr>
          <w:rFonts w:ascii="Times New Roman" w:cs="Times New Roman" w:eastAsia="Times New Roman" w:hAnsi="Times New Roman"/>
          <w:sz w:val="18"/>
          <w:szCs w:val="18"/>
          <w:color w:val="auto"/>
        </w:rPr>
        <w:t>") regarding the New Business Opportunity within sixty (60) days after the Opportunity Acceptance Period (the "</w:t>
      </w:r>
      <w:r>
        <w:rPr>
          <w:rFonts w:ascii="Times New Roman" w:cs="Times New Roman" w:eastAsia="Times New Roman" w:hAnsi="Times New Roman"/>
          <w:sz w:val="18"/>
          <w:szCs w:val="18"/>
          <w:b w:val="1"/>
          <w:bCs w:val="1"/>
          <w:color w:val="auto"/>
        </w:rPr>
        <w:t>Opportunity Period</w:t>
      </w:r>
      <w:r>
        <w:rPr>
          <w:rFonts w:ascii="Times New Roman" w:cs="Times New Roman" w:eastAsia="Times New Roman" w:hAnsi="Times New Roman"/>
          <w:sz w:val="18"/>
          <w:szCs w:val="18"/>
          <w:color w:val="auto"/>
        </w:rPr>
        <w:t>"), the Company shall thereafter be entitled to deal, negotiate and enter into any subsequent contracts or agreements directly with such Prospective Party on all matters. If the Company either (i) declines or fails to accept the New Business Opportunity within the Opportunity Acceptance Period, or (ii) fails to enter into a legally binding written agreement with any Prospective Party within the Opportunity Period, the Originating Founder (and its Affiliates) shall thereafter have the right to pursue such New Business Opportunity independently or with another person, firm, or company.</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0" w:name="page431"/>
    <w:bookmarkEnd w:id="430"/>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Each Founder (save in relation to Mario Ho) hereby further undertakes (severally but not jointly with other Founders) to each of the Company and the Shareholders that:</w:t>
      </w:r>
    </w:p>
    <w:p>
      <w:pPr>
        <w:spacing w:after="0" w:line="162" w:lineRule="exact"/>
        <w:rPr>
          <w:sz w:val="20"/>
          <w:szCs w:val="20"/>
          <w:color w:val="auto"/>
        </w:rPr>
      </w:pPr>
    </w:p>
    <w:p>
      <w:pPr>
        <w:jc w:val="both"/>
        <w:ind w:left="1280" w:hanging="624"/>
        <w:spacing w:after="0" w:line="266" w:lineRule="auto"/>
        <w:tabs>
          <w:tab w:leader="none" w:pos="128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he remains either (i) an ultimate beneficial owner of the Company, (ii) a Director, (iii) a Co-CEO; and/or (iv) an officer, employee or director of any Group Company (as applicable), he shall devote commercially reasonable time and attention to advance and promote the Business and the interests of the Group; and</w:t>
      </w:r>
    </w:p>
    <w:p>
      <w:pPr>
        <w:spacing w:after="0" w:line="17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work for the Group on a full-time basis in the one (1) year leading up to the Qualified IPO, and in the one (1) year following the Qualified IPO.</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Each of the Company and the VE Founder Parties (acting severally but not jointly) hereby irrevocably and unconditionally agrees and undertakes to Wuhan Douyu that, it shall not, and shall procure the VE Group Companies not to, without the prior written consent from Wuhan Douyu:</w:t>
      </w:r>
    </w:p>
    <w:p>
      <w:pPr>
        <w:spacing w:after="0" w:line="162" w:lineRule="exact"/>
        <w:rPr>
          <w:sz w:val="20"/>
          <w:szCs w:val="20"/>
          <w:color w:val="auto"/>
        </w:rPr>
      </w:pPr>
    </w:p>
    <w:p>
      <w:pPr>
        <w:ind w:left="1280" w:right="20" w:hanging="624"/>
        <w:spacing w:after="0" w:line="282" w:lineRule="auto"/>
        <w:tabs>
          <w:tab w:leader="none" w:pos="12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Securities to any Wuhan Douyu Competitor, or otherwise accept any other form of investment or funding from any Wuhan Douyu Competitor;</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 strategic partnership or alliance, or any other similar cooperation or arrangements with any Wuhan Douyu Competitor; or</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any right of participation in esports tournaments and league spots (KPL or LPL).</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Each and every obligation under this Clause shall be treated as a separate obligation and shall be severally enforceable as such and in the event of any obligation or obligations being or becoming unenforceable in whole or in part such part or parts as are unenforceable shall be deleted from this Clause and any such deletion shall not affect the enforceability of all such parts of this Clause as remain not so deleted.</w:t>
      </w:r>
    </w:p>
    <w:p>
      <w:pPr>
        <w:spacing w:after="0" w:line="176"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Parties agree that having regard to all the circumstances the restrictive covenants herein contained are reasonable and necessary for the protection of the Group and the Shareholders and further agree that having regard to those circumstances the said covenants do not work harshly upon them. However, it is recognised that restrictions of the nature in question may fail for technical reasons and accordingly it is hereby agreed and declared that if any of such restrictions shall be adjudged to be void as going beyond what is reasonable in all the circumstances for the protection of the Group or the Shareholders but would be valid if part of the wording thereof were deleted or the periods thereof reduced or the range of activities or area dealt with thereby reduced in scope the said restriction shall apply with such modifications as may be necessary to make it valid and effective.</w:t>
      </w:r>
    </w:p>
    <w:p>
      <w:pPr>
        <w:spacing w:after="0" w:line="189"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For the avoidance of doubt, the restrictions in this Clause 18 shall not operate to prohibit any Party from fulfilling any obligation pursuant to this Agreement.</w:t>
      </w:r>
    </w:p>
    <w:p>
      <w:pPr>
        <w:spacing w:after="0" w:line="158" w:lineRule="exact"/>
        <w:rPr>
          <w:sz w:val="20"/>
          <w:szCs w:val="20"/>
          <w:color w:val="auto"/>
        </w:rPr>
      </w:pPr>
    </w:p>
    <w:p>
      <w:pPr>
        <w:ind w:left="640" w:hanging="632"/>
        <w:spacing w:after="0"/>
        <w:tabs>
          <w:tab w:leader="none" w:pos="64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Qualified IPO</w:t>
      </w:r>
    </w:p>
    <w:p>
      <w:pPr>
        <w:spacing w:after="0" w:line="229"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Parties shall use their respective best efforts to consummate a Qualified IPO. The Company shall consult regularly with the Financial Shareholders on the status, progress and pricing of the Qualified IPO and (in the event of an IPO under clause (a) of the definition thereof) allow each Financial Shareholder reasonable opportunities to provide comments on the draft prospectus and/or to participate in meetings with the relevant stock exchange(s), the underwriter(s) or other advisers in respect of the Qualified IPO, and (in the event of an IPO under clause (b) of the definition thereof) allow each Financial Shareholder reasonable access to the SPAC and reasonable opportunities to provide comments on the draft public documentation related to the de-SPAC and/or to participate in meetings with the relevant stock exchange(s), and advisers in respect of the Qualified IPO, provided that such consultations and any Financial Shareholder's comments shall not be regarded as any decision or order with binding effect on the Company or any other Shareholders. To the extent permissible by Applicable Laws, the Parties shall use their respective best efforts to discuss the IPO proposals in good faith in order to make sure that the Founders collectively will remain in Control of the Company (directly or indirectly) after the consummation of the Qualified IPO.</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1" w:name="page432"/>
    <w:bookmarkEnd w:id="431"/>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Immediately before the IPO Effective Time, each Preferred Share will automatically convert into an equal number of Ordinary Shares as calculated in accordance with the Articles and this Agreement without any further act of the Company or the Preferred Shareholder of any Preferred Shares. If an IPO is not consummated or concluded within five (5) Business Days of the IPO Effective Time or such other date as the Board may in its absolute discretion resolve, the foregoing automatic conversion will be deemed to have not occurred.</w:t>
      </w:r>
    </w:p>
    <w:p>
      <w:pPr>
        <w:spacing w:after="0" w:line="176" w:lineRule="exact"/>
        <w:rPr>
          <w:sz w:val="20"/>
          <w:szCs w:val="20"/>
          <w:color w:val="auto"/>
        </w:rPr>
      </w:pPr>
    </w:p>
    <w:p>
      <w:pPr>
        <w:ind w:left="640" w:hanging="632"/>
        <w:spacing w:after="0"/>
        <w:tabs>
          <w:tab w:leader="none" w:pos="640"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Warranties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Each Shareholder warrants to the other Shareholders that:</w:t>
      </w:r>
    </w:p>
    <w:p>
      <w:pPr>
        <w:spacing w:after="0" w:line="225" w:lineRule="exact"/>
        <w:rPr>
          <w:sz w:val="20"/>
          <w:szCs w:val="20"/>
          <w:color w:val="auto"/>
        </w:rPr>
      </w:pPr>
    </w:p>
    <w:p>
      <w:pPr>
        <w:ind w:left="1280" w:hanging="624"/>
        <w:spacing w:after="0" w:line="282" w:lineRule="auto"/>
        <w:tabs>
          <w:tab w:leader="none" w:pos="12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full power and authority to enter into and to perform its obligations under this Agreement which, when executed, will constitute valid and binding obligations on it in accordance with its terms;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and delivery of, and the performance by it of this Agreement will not result in any breach of any Applicable Laws or provision of its articles of association (or equivalent constitutive documents) or result in any claim by a third party against the other Shareholder or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Each Shareholder represents and warrants to the other Shareholders that to the best of its knowledge, it and each of its directors, officers and Affiliates has not engaged and shall not engage in any activity, practice or conduct that may constitute a breach of the Anti-Corruption Laws (for so long as that Shareholder (or its Affiliates) remains a Shareholder in the Company).</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Each Shareholder undertakes to the other Shareholders that it will, and will procure that each Group Company during the term of this Agreement and in the course of the carrying out of the Business will:</w:t>
      </w:r>
    </w:p>
    <w:p>
      <w:pPr>
        <w:spacing w:after="0" w:line="162" w:lineRule="exact"/>
        <w:rPr>
          <w:sz w:val="20"/>
          <w:szCs w:val="20"/>
          <w:color w:val="auto"/>
        </w:rPr>
      </w:pPr>
    </w:p>
    <w:p>
      <w:pPr>
        <w:ind w:left="1280" w:hanging="624"/>
        <w:spacing w:after="0"/>
        <w:tabs>
          <w:tab w:leader="none" w:pos="12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Anti-Corruption Laws and the Applicable Laws;</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the course of the operation of the Business engage in any activity, practice or conduct that may constitute Bribery or give rise to a breach of the Anti-Corruption Laws;</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shareholder or director of the Company, vote in favour of the Group taking reasonable steps to prevent any conduct that may give rise to a breach of the Anti-Corruption Laws;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2" w:name="page433"/>
    <w:bookmarkEnd w:id="432"/>
    <w:p>
      <w:pPr>
        <w:jc w:val="both"/>
        <w:ind w:left="1280" w:hanging="624"/>
        <w:spacing w:after="0" w:line="266" w:lineRule="auto"/>
        <w:tabs>
          <w:tab w:leader="none" w:pos="12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possible, take all reasonable steps to vote or otherwise to procure that the Group complies with the Anti-Corruption Laws and that each of the members of the Group do not engage in any activity, practice or conduct that may constitute Bribery or give rise to a breach of the Anti-Corruption Laws; and</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other Shareholder (including the Directors appointed by the other Shareholders) if such Shareholder suspects that the Group has violated or intend to violate the Anti-Corruption Laws, and/or have engaged or intend to engage in any activity, practice or conduct that may constitute bribery or give rise to a breach of the Anti-Corruption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Sanctions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7"/>
          <w:szCs w:val="17"/>
          <w:color w:val="auto"/>
        </w:rPr>
        <w:t>Each Party represents and warrants to the other Parties that to the best of its knowledge, it and each of its directors, officers and Affiliates:</w:t>
      </w:r>
    </w:p>
    <w:p>
      <w:pPr>
        <w:spacing w:after="0" w:line="225" w:lineRule="exact"/>
        <w:rPr>
          <w:sz w:val="20"/>
          <w:szCs w:val="20"/>
          <w:color w:val="auto"/>
        </w:rPr>
      </w:pPr>
    </w:p>
    <w:p>
      <w:pPr>
        <w:ind w:left="1280" w:hanging="624"/>
        <w:spacing w:after="0"/>
        <w:tabs>
          <w:tab w:leader="none" w:pos="128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Sanctioned Person;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located, resident organized or operating in a country, region or territory that is the subject of Sanctions;</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in, and is not now engaged in, any dealings or transactions with any Government Authority, person, entity or project targeted by, or located in any country or territory, that at the time of the dealing or transaction is or was the subject of Sanctions; or</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or has not been in violation of or subject to an investigation relating to any Sanctions.</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color w:val="auto"/>
        </w:rPr>
        <w:t>Each Party (save as Financial Shareholders) undertakes that it will from time to time, at the reasonable request of any other Parties, confirm in writing that it has complied with its undertakings under Clauses 20.2 to 20.4 and will provide any information reasonably requested by the other Parties in support of such compliance.</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Subject to Clause 23.5, each Party agrees that it will indemnify and hold harmless each of the other Parties and their respective Affiliates on demand from and against all Losses which such other Parties or their respective Affiliates may suffer or incur arising out of, or in connection with, any breach by it of Clauses 20.2 to 20.4.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The Parties agree and acknowledge that:</w:t>
      </w:r>
    </w:p>
    <w:p>
      <w:pPr>
        <w:spacing w:after="0" w:line="225" w:lineRule="exact"/>
        <w:rPr>
          <w:sz w:val="20"/>
          <w:szCs w:val="20"/>
          <w:color w:val="auto"/>
        </w:rPr>
      </w:pPr>
    </w:p>
    <w:p>
      <w:pPr>
        <w:jc w:val="both"/>
        <w:ind w:left="1280" w:hanging="624"/>
        <w:spacing w:after="0" w:line="266" w:lineRule="auto"/>
        <w:tabs>
          <w:tab w:leader="none" w:pos="128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that may be licensed by any of the Founders, the Founder Holdcos, the VE Group Companies and the NIP Group Companies (or any of their respective Affiliates) (each, a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to the Group shall remain owned by such Licensor, and the Licensor shall retain all rights, title and interests in and to such Intellectual Property subject only to the terms of such license;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3" w:name="page434"/>
    <w:bookmarkEnd w:id="433"/>
    <w:p>
      <w:pPr>
        <w:ind w:left="1280" w:hanging="624"/>
        <w:spacing w:after="0"/>
        <w:tabs>
          <w:tab w:leader="none" w:pos="12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which:</w:t>
      </w:r>
    </w:p>
    <w:p>
      <w:pPr>
        <w:spacing w:after="0" w:line="225"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jointly developed by any Group Company with any of the Licensors and /or Shareholders for the purpose of the Business, together with any upgrades and/or improvements made to such Intellectual Property; or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in the course of the Group's activities,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shall belong to the Company or as the case may be, the relevant Group Company, subject to the terms of any other licence or other agreements between such Parties.</w:t>
      </w:r>
    </w:p>
    <w:p>
      <w:pPr>
        <w:spacing w:after="0" w:line="162"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8"/>
          <w:szCs w:val="18"/>
          <w:color w:val="auto"/>
        </w:rPr>
        <w:t>The Parties agree and acknowledge that, and the Company represents and warrants that, except the Licensed Intellectual Property and subject to Clause 20.7(a), all rights, title and interest in or to the Business Intellectual Property, including any Business Intellectual Property created or developed by the Shareholders (save as Financial Shareholders), the Company and the Group (including employees, consultants and independent contractors of the Company and the Group) shall belong to the Company, and the Company undertakes to take all Necessary Action to secure and maintain sole and exclusive ownership of such Intellectual Property.</w:t>
      </w:r>
    </w:p>
    <w:p>
      <w:pPr>
        <w:spacing w:after="0" w:line="183"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color w:val="auto"/>
        </w:rPr>
        <w:t>The Company shall and shall procure that each Group Company, and the Shareholders shall use reasonable endeavours to procure that the Company and each Group Company shall protect the Company's Intellectual Property and the Business Intellectual Property through all requisite, appropriate and desirable means, including but not limited to:</w:t>
      </w:r>
    </w:p>
    <w:p>
      <w:pPr>
        <w:spacing w:after="0" w:line="176" w:lineRule="exact"/>
        <w:rPr>
          <w:sz w:val="20"/>
          <w:szCs w:val="20"/>
          <w:color w:val="auto"/>
        </w:rPr>
      </w:pPr>
    </w:p>
    <w:p>
      <w:pPr>
        <w:ind w:left="1280" w:hanging="624"/>
        <w:spacing w:after="0" w:line="282" w:lineRule="auto"/>
        <w:tabs>
          <w:tab w:leader="none" w:pos="12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securing registrations of trade marks, trade names, patents, copyrights and other forms of Intellectual Property with the appropriate authorities in the relevant jurisdictions in the name of the Company;</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of Applicable Laws in all material respects and making necessary payments (including maintenance and renewal fees) and filing all necessary documents, recordations and certificates to ensure such Intellectual Property is valid, subsisting and enforceable;</w:t>
      </w:r>
    </w:p>
    <w:p>
      <w:pPr>
        <w:spacing w:after="0" w:line="17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proper and enforceable legal documentation for all assignments and licences relating to such Company's Intellectual Property; and</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taking reasonable measures and steps to prevent unauthorised use, unauthorised disclosure, infringement or misappropriation of such Company's Intellectual Property by third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229"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20.10</w:t>
        <w:tab/>
        <w:t>The Company represents, warrants and undertakes that it will, and each of the Company, the Founders, and the Founder Holdcos represents, warrants and undertakes will procure that each Group Company will:</w:t>
      </w:r>
    </w:p>
    <w:p>
      <w:pPr>
        <w:spacing w:after="0" w:line="162" w:lineRule="exact"/>
        <w:rPr>
          <w:sz w:val="20"/>
          <w:szCs w:val="20"/>
          <w:color w:val="auto"/>
        </w:rPr>
      </w:pPr>
    </w:p>
    <w:p>
      <w:pPr>
        <w:ind w:left="1280" w:hanging="624"/>
        <w:spacing w:after="0"/>
        <w:tabs>
          <w:tab w:leader="none" w:pos="12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Privacy Laws;</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data protection guidelines, regulations, industry standards, codes of practice or conduct, recommendations or other documents approved or issued by any Government Authority;</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4" w:name="page435"/>
    <w:bookmarkEnd w:id="434"/>
    <w:p>
      <w:pPr>
        <w:ind w:left="1280" w:hanging="624"/>
        <w:spacing w:after="0" w:line="282" w:lineRule="auto"/>
        <w:tabs>
          <w:tab w:leader="none" w:pos="12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in writing all customers, employees and other persons in respect of whom it holds personal data of the purposes for which it has collected, holds and will use such data; and</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in place adequate security procedures to prevent unauthorised access, amendment or damage to personal data held, recorded, stored, maintained or operated by the Company or on behalf of the Company by any third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Authorizations</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20.11</w:t>
        <w:tab/>
        <w:t>Each VE Financial Shareholder undertakes to the other Shareholders that in case it leads to the Group’s failure to obtain all necessary Authorizations for the operation of the Group Companies, it will use its best endeavours to facilitate the Group in obtaining all such Authorizations.</w:t>
      </w:r>
    </w:p>
    <w:p>
      <w:pPr>
        <w:spacing w:after="0" w:line="172" w:lineRule="exact"/>
        <w:rPr>
          <w:sz w:val="20"/>
          <w:szCs w:val="20"/>
          <w:color w:val="auto"/>
        </w:rPr>
      </w:pPr>
    </w:p>
    <w:p>
      <w:pPr>
        <w:ind w:left="640" w:hanging="632"/>
        <w:spacing w:after="0"/>
        <w:tabs>
          <w:tab w:leader="none" w:pos="64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This Clause 21 applies to all Confidential Information disclosed (whether in writing, verbally or by any other means and whether directly or indirectly) by one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any other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whether before or after the date of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During the term of this Agreement and after termination or expiration of this Agreement for any reason whatsoever, the Receiving Party shall:</w:t>
      </w:r>
    </w:p>
    <w:p>
      <w:pPr>
        <w:spacing w:after="0" w:line="225" w:lineRule="exact"/>
        <w:rPr>
          <w:sz w:val="20"/>
          <w:szCs w:val="20"/>
          <w:color w:val="auto"/>
        </w:rPr>
      </w:pPr>
    </w:p>
    <w:p>
      <w:pPr>
        <w:ind w:left="1280" w:hanging="624"/>
        <w:spacing w:after="0"/>
        <w:tabs>
          <w:tab w:leader="none" w:pos="128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Confidential Information confidential;</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the Confidential Information to any other person other than with the prior written consent of the Disclosing Party or in accordance with Clauses 21.3 and 21.4;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the Confidential Information for any purpose other than the performance of its obligations under this Agreement.</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During the term of this Agreement, the Receiving Party (being a body corporate) may disclose the Confidential Information to any of its directors, officers, employees, professional advisors, auditors, directors, Affiliates, potential investors and other financing sources ("Recipient") to the extent that it is necessary for the purposes of this Agreement.</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The Receiving Party shall procure that each Recipient is made aware of and complies with all the Receiving Party's obligations of confidentiality under this Agreement as if the Recipient was a party to this Agreement. The Receiving Party shall remain responsible for any breach of this Clause 21 by the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obligations contained in Clauses 21.2 to 21.4 shall not apply to any Confidential Information which:</w:t>
      </w:r>
    </w:p>
    <w:p>
      <w:pPr>
        <w:spacing w:after="0" w:line="225" w:lineRule="exact"/>
        <w:rPr>
          <w:sz w:val="20"/>
          <w:szCs w:val="20"/>
          <w:color w:val="auto"/>
        </w:rPr>
      </w:pPr>
    </w:p>
    <w:p>
      <w:pPr>
        <w:ind w:left="1280" w:hanging="624"/>
        <w:spacing w:after="0" w:line="282" w:lineRule="auto"/>
        <w:tabs>
          <w:tab w:leader="none" w:pos="12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its disclosure by the Disclosing Party to the Receiving Party is in the public domain, or comes into the public domain, other than through breach of this Agreement by the Receiving Party or any Recipient;</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shown by the Receiving Party to the reasonable satisfaction of the Disclosing Party to have been known to the Receiving Party prior to it being disclosed by the Disclosing Party to the Receiving Party (excluding Intellectual Property transferred by the Licensors to the Group in accordance with the terms of the underlying licensing or assignment agreements);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5" w:name="page436"/>
    <w:bookmarkEnd w:id="435"/>
    <w:p>
      <w:pPr>
        <w:ind w:left="1280" w:hanging="624"/>
        <w:spacing w:after="0"/>
        <w:tabs>
          <w:tab w:leader="none" w:pos="128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comes lawfully into the possession of the Receiving Party from a third party; or</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by any Applicable Law, Government Authority or any court of competent jurisdiction, or any binding judgment, order or requirement of any other competent authority.</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Without prejudice to any other rights or remedies which a Party may have, the Parties acknowledge and agree that damages would not be an adequate remedy for any breach of this Clause 21 and the remedies of injunction, specific performance and other equitable relief are appropriate for any threatened or actual breach of any such provision and no proof of special damages shall be necessary for the enforcement of the rights under this Clause 21.</w:t>
      </w:r>
    </w:p>
    <w:p>
      <w:pPr>
        <w:spacing w:after="0" w:line="176" w:lineRule="exact"/>
        <w:rPr>
          <w:sz w:val="20"/>
          <w:szCs w:val="20"/>
          <w:color w:val="auto"/>
        </w:rPr>
      </w:pPr>
    </w:p>
    <w:p>
      <w:pPr>
        <w:ind w:left="640" w:hanging="632"/>
        <w:spacing w:after="0"/>
        <w:tabs>
          <w:tab w:leader="none" w:pos="64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Rights</w:t>
      </w:r>
    </w:p>
    <w:p>
      <w:pPr>
        <w:spacing w:after="0" w:line="225"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The Company covenants and agrees, and each Preferred Shareholder (an "</w:t>
      </w:r>
      <w:r>
        <w:rPr>
          <w:rFonts w:ascii="Times New Roman" w:cs="Times New Roman" w:eastAsia="Times New Roman" w:hAnsi="Times New Roman"/>
          <w:sz w:val="18"/>
          <w:szCs w:val="18"/>
          <w:b w:val="1"/>
          <w:bCs w:val="1"/>
          <w:color w:val="auto"/>
        </w:rPr>
        <w:t>Information Rights Holder</w:t>
      </w:r>
      <w:r>
        <w:rPr>
          <w:rFonts w:ascii="Times New Roman" w:cs="Times New Roman" w:eastAsia="Times New Roman" w:hAnsi="Times New Roman"/>
          <w:sz w:val="18"/>
          <w:szCs w:val="18"/>
          <w:color w:val="auto"/>
        </w:rPr>
        <w:t>") agrees with the Company, that, unless otherwise agreed between such Information Rights Holder and the Company, commencing on the date hereof, the Company will deliver to each Information Rights Holder:(a) unaudited consolidated monthly financial statements in accordance with the PRC GAAP, US GAAP or IFRS (as applicable) and the key operating data of the Group Companies within fifteen (15) days after the end of each fiscal month;</w:t>
      </w:r>
    </w:p>
    <w:p>
      <w:pPr>
        <w:spacing w:after="0" w:line="180" w:lineRule="exact"/>
        <w:rPr>
          <w:sz w:val="20"/>
          <w:szCs w:val="20"/>
          <w:color w:val="auto"/>
        </w:rPr>
      </w:pPr>
    </w:p>
    <w:p>
      <w:pPr>
        <w:ind w:left="1280" w:right="20" w:hanging="624"/>
        <w:spacing w:after="0" w:line="282" w:lineRule="auto"/>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quarterly financial statements of the Group Companies within fifteen (15) days after the end of each fiscal quarter in accordance with the PRC GAAP, US GAAP or IFRS (as applicable);</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consolidated financial statements of the Group Companies audited and certified by an independent certified public accounting firm of internationally recognized standing, including the balance sheet as of the end of such fiscal year and statements of income, shareholders' equity, and cash-flow for such fiscal year, within forty-five (45) days after the end of each fiscal year, all prepared in accordance with the US GAAP or IFRS;</w:t>
      </w:r>
    </w:p>
    <w:p>
      <w:pPr>
        <w:spacing w:after="0" w:line="179"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Group Companies' Business Plan for the following fiscal year duly approved by the Board, setting forth (1) the projected balance sheets, income statements and statements of cash flows for such fiscal year of the Company on a quarterly basis; (2) the projected budgets; and (3) all other material matters relating to the operation, development and business of the Group Companies, at least thirty (30) days prior to the beginning of each fiscal year;</w:t>
      </w:r>
    </w:p>
    <w:p>
      <w:pPr>
        <w:spacing w:after="0" w:line="179"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table of the Company, within ten (10) days after the end of each calendar quarter, and the latest updated capitalization table within five (5) Business Days after any change to the capital structure of the Company;</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operating data of the Group Companies within twenty (20) days after the end of each fiscal month; and</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written request by an Information Rights Holder but in any event within ten (10) days after the date of such written request, such other information relating to the financial condition and the Business of the Group Companies as such holder shall reasonably request;</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6" w:name="page437"/>
    <w:bookmarkEnd w:id="436"/>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Company shall not be obligated under this Clause 22.1 to provide information (i) that the Board has reasonably determined in good faith is a trade secret or (ii) the disclosure of which would prejudice the attorney-client privilege between any of the Group Companies and their counsel.</w:t>
      </w:r>
    </w:p>
    <w:p>
      <w:pPr>
        <w:spacing w:after="0" w:line="176"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Company further covenants and agrees that, each Information Rights Holder shall have (i) the right to inspect properties and facilities and inspect and audit records and books, compliance policies and procedures and related documents and correspondences in the possession of the Company, and to make copies or extracts therefrom, at any time during regular working hours on reasonable prior notice to the Company, and</w:t>
      </w:r>
    </w:p>
    <w:p>
      <w:pPr>
        <w:spacing w:after="0" w:line="1" w:lineRule="exact"/>
        <w:rPr>
          <w:sz w:val="20"/>
          <w:szCs w:val="20"/>
          <w:color w:val="auto"/>
        </w:rPr>
      </w:pPr>
    </w:p>
    <w:p>
      <w:pPr>
        <w:ind w:left="640" w:firstLine="2"/>
        <w:spacing w:after="0" w:line="260" w:lineRule="auto"/>
        <w:tabs>
          <w:tab w:leader="none" w:pos="94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discuss the business, operations and conditions of the Company with its directors, officers, accountants, legal counsel and investment bankers.</w:t>
      </w:r>
    </w:p>
    <w:p>
      <w:pPr>
        <w:spacing w:after="0" w:line="181"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Without prejudice to Clause 21, each Information Rights Holder agrees with the Company that without the prior consent of the Company, such Information Rights Holder will not disclose any of the information it obtains from the Company or any Group Company under this Clause 22 to any third party, save in relation to such permitted disclosure pursuant to Clause 21.5.</w:t>
      </w:r>
    </w:p>
    <w:p>
      <w:pPr>
        <w:spacing w:after="0" w:line="172" w:lineRule="exact"/>
        <w:rPr>
          <w:sz w:val="20"/>
          <w:szCs w:val="20"/>
          <w:color w:val="auto"/>
        </w:rPr>
      </w:pPr>
    </w:p>
    <w:p>
      <w:pPr>
        <w:ind w:left="640" w:hanging="632"/>
        <w:spacing w:after="0"/>
        <w:tabs>
          <w:tab w:leader="none" w:pos="64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Default Event</w:t>
      </w:r>
      <w:r>
        <w:rPr>
          <w:rFonts w:ascii="Times New Roman" w:cs="Times New Roman" w:eastAsia="Times New Roman" w:hAnsi="Times New Roman"/>
          <w:sz w:val="17"/>
          <w:szCs w:val="17"/>
          <w:color w:val="auto"/>
        </w:rPr>
        <w:t>" occurs in relation to a Party (the "</w:t>
      </w:r>
      <w:r>
        <w:rPr>
          <w:rFonts w:ascii="Times New Roman" w:cs="Times New Roman" w:eastAsia="Times New Roman" w:hAnsi="Times New Roman"/>
          <w:sz w:val="17"/>
          <w:szCs w:val="17"/>
          <w:b w:val="1"/>
          <w:bCs w:val="1"/>
          <w:color w:val="auto"/>
        </w:rPr>
        <w:t>Defaulting Party</w:t>
      </w:r>
      <w:r>
        <w:rPr>
          <w:rFonts w:ascii="Times New Roman" w:cs="Times New Roman" w:eastAsia="Times New Roman" w:hAnsi="Times New Roman"/>
          <w:sz w:val="17"/>
          <w:szCs w:val="17"/>
          <w:color w:val="auto"/>
        </w:rPr>
        <w:t>") if:</w:t>
      </w:r>
    </w:p>
    <w:p>
      <w:pPr>
        <w:spacing w:after="0" w:line="229" w:lineRule="exact"/>
        <w:rPr>
          <w:sz w:val="20"/>
          <w:szCs w:val="20"/>
          <w:color w:val="auto"/>
        </w:rPr>
      </w:pPr>
    </w:p>
    <w:p>
      <w:pPr>
        <w:ind w:left="1280" w:hanging="624"/>
        <w:spacing w:after="0"/>
        <w:tabs>
          <w:tab w:leader="none" w:pos="128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occurs in relation to such Party; and</w:t>
      </w:r>
    </w:p>
    <w:p>
      <w:pPr>
        <w:spacing w:after="0" w:line="223" w:lineRule="exact"/>
        <w:rPr>
          <w:rFonts w:ascii="Times New Roman" w:cs="Times New Roman" w:eastAsia="Times New Roman" w:hAnsi="Times New Roman"/>
          <w:sz w:val="18"/>
          <w:szCs w:val="18"/>
          <w:color w:val="auto"/>
        </w:rPr>
      </w:pPr>
    </w:p>
    <w:p>
      <w:pPr>
        <w:ind w:left="1280" w:hanging="624"/>
        <w:spacing w:after="0" w:line="284" w:lineRule="auto"/>
        <w:tabs>
          <w:tab w:leader="none" w:pos="128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Party is in material breach of its obligations hereunder, including but not limited to Clauses 9, 10.13, 11 to 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18, 20.2 to 20.6, and 21 (each, a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If a Default Event occurs, any non-Defaulting Party shall forthwith give notice to the Defaulting Party after it becomes aware of the occurrence of any Default Event (the "</w:t>
      </w:r>
      <w:r>
        <w:rPr>
          <w:rFonts w:ascii="Times New Roman" w:cs="Times New Roman" w:eastAsia="Times New Roman" w:hAnsi="Times New Roman"/>
          <w:sz w:val="18"/>
          <w:szCs w:val="18"/>
          <w:b w:val="1"/>
          <w:bCs w:val="1"/>
          <w:color w:val="auto"/>
        </w:rPr>
        <w:t>Default Event Notice</w:t>
      </w:r>
      <w:r>
        <w:rPr>
          <w:rFonts w:ascii="Times New Roman" w:cs="Times New Roman" w:eastAsia="Times New Roman" w:hAnsi="Times New Roman"/>
          <w:sz w:val="18"/>
          <w:szCs w:val="18"/>
          <w:color w:val="auto"/>
        </w:rPr>
        <w:t>") specifying the breach and the remedy required, which must be reasonable in the circumstances.</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The Defaulting Party shall remedy the Default Event within thirty (30) Business Days after receipt of the Default Event Notice, if the Default Event is capable of remedy.</w:t>
      </w:r>
    </w:p>
    <w:p>
      <w:pPr>
        <w:spacing w:after="0" w:line="158"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In the event that the Defaulting Party is a Shareholder (the "</w:t>
      </w:r>
      <w:r>
        <w:rPr>
          <w:rFonts w:ascii="Times New Roman" w:cs="Times New Roman" w:eastAsia="Times New Roman" w:hAnsi="Times New Roman"/>
          <w:sz w:val="18"/>
          <w:szCs w:val="18"/>
          <w:b w:val="1"/>
          <w:bCs w:val="1"/>
          <w:color w:val="auto"/>
        </w:rPr>
        <w:t>Defaulting Shareholder</w:t>
      </w:r>
      <w:r>
        <w:rPr>
          <w:rFonts w:ascii="Times New Roman" w:cs="Times New Roman" w:eastAsia="Times New Roman" w:hAnsi="Times New Roman"/>
          <w:sz w:val="18"/>
          <w:szCs w:val="18"/>
          <w:color w:val="auto"/>
        </w:rPr>
        <w:t>"), the Parties hereby agree that, to the extent permissible by the Applicable Laws:</w:t>
      </w:r>
    </w:p>
    <w:p>
      <w:pPr>
        <w:spacing w:after="0" w:line="159" w:lineRule="exact"/>
        <w:rPr>
          <w:sz w:val="20"/>
          <w:szCs w:val="20"/>
          <w:color w:val="auto"/>
        </w:rPr>
      </w:pPr>
    </w:p>
    <w:p>
      <w:pPr>
        <w:ind w:left="1280" w:hanging="624"/>
        <w:spacing w:after="0" w:line="282" w:lineRule="auto"/>
        <w:tabs>
          <w:tab w:leader="none" w:pos="128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Shareholder and its appointed Directors shall not be entitled to exercise any right or privilege (including the rights to attend meetings and to vote), but shall continue to be subject to the obligations under this Agreement, the Articles or otherwise,</w:t>
      </w:r>
    </w:p>
    <w:p>
      <w:pPr>
        <w:spacing w:after="0" w:line="161"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take any action as may be necessary to cure the Default Event at the sole cost and expense of the Defaulting Shareholder;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Shareholder shall not be entitled to any distributions or dividends,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7" w:name="page438"/>
    <w:bookmarkEnd w:id="437"/>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with effect from the date of the Default Event Notice and (i) until such time the breach under the Default Event has been remedied or (ii) until such breach has been waived by such non-Defaulting Shareholders with not less two-thirds (2/3) of the issued Shares.</w:t>
      </w:r>
    </w:p>
    <w:p>
      <w:pPr>
        <w:spacing w:after="0" w:line="162"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The maximum aggregate overall liability of a Defaulting Party under this Agreement shall not exceed 100% of the Initial Subscription Price of all of the Securities then held by such Defaulting Party (“</w:t>
      </w:r>
      <w:r>
        <w:rPr>
          <w:rFonts w:ascii="Times New Roman" w:cs="Times New Roman" w:eastAsia="Times New Roman" w:hAnsi="Times New Roman"/>
          <w:sz w:val="18"/>
          <w:szCs w:val="18"/>
          <w:b w:val="1"/>
          <w:bCs w:val="1"/>
          <w:color w:val="auto"/>
        </w:rPr>
        <w:t>Liability Cap</w:t>
      </w:r>
      <w:r>
        <w:rPr>
          <w:rFonts w:ascii="Times New Roman" w:cs="Times New Roman" w:eastAsia="Times New Roman" w:hAnsi="Times New Roman"/>
          <w:sz w:val="18"/>
          <w:szCs w:val="18"/>
          <w:color w:val="auto"/>
        </w:rPr>
        <w:t>”), provided, however, that (a) in the event where a VE Financial Shareholder or a NIP Shareholder is a Defaulting Party, such VE Financial Shareholder’s or such NIP Shareholder’s maximum aggregate liability shall be the</w:t>
      </w:r>
    </w:p>
    <w:p>
      <w:pPr>
        <w:spacing w:after="0" w:line="1" w:lineRule="exact"/>
        <w:rPr>
          <w:sz w:val="20"/>
          <w:szCs w:val="20"/>
          <w:color w:val="auto"/>
        </w:rPr>
      </w:pPr>
    </w:p>
    <w:p>
      <w:pPr>
        <w:jc w:val="both"/>
        <w:ind w:left="640" w:firstLine="2"/>
        <w:spacing w:after="0" w:line="251" w:lineRule="auto"/>
        <w:tabs>
          <w:tab w:leader="none" w:pos="886"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proceeds at the amount of 100% of the Initial Subscription Price from the sale of any or all Securities held by such VE Financial Shareholder or such NIP Shareholder; or (ii) cash proceeds from sale of all the Securities if such Securities are sold at a price lower than 100% of the Initial Subscription Price, whichever applicable; (b) in the event where a VE Founder is a Defaulting Party, in respect of such Losses suffered by any VE Financial Shareholder, such VE Founder’s maximum aggregate liability shall be the cash proceeds from the sale of all of the Securities held by such VE Founder Party (whether directly or indirectly); (c) in case of any acts of bad faith, fraud, gross negligence, wilful default by a VE Founder Party which results in any Losses suffered by any non-defaulting VE Shareholder, such VE Founder Party's maximum aggregate liability shall not be capped hereof; (d) the Liability Cap does not apply to any Losses incurred by any NIP Shareholder for any Defaulting Event caused by the Company or any VE Founder Party under Clauses 16.13 , 16.15, 16.16 and 17.1.</w:t>
      </w:r>
    </w:p>
    <w:p>
      <w:pPr>
        <w:spacing w:after="0" w:line="18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 Parties shall be entitled to the following rights with respect to any potential public offering of Ordinary Shares of the Company (or securities representing such Ordinary Shares) in the United States, and to any analogous or equivalent rights with respect to any other offering of shares in any other jurisdiction pursuant to which the Company undertakes to publicly offer or list such securities for trading on a recognized securities exchange.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For the purposes of this Clause 24,</w:t>
      </w:r>
    </w:p>
    <w:p>
      <w:pPr>
        <w:spacing w:after="0" w:line="221" w:lineRule="exact"/>
        <w:rPr>
          <w:sz w:val="20"/>
          <w:szCs w:val="20"/>
          <w:color w:val="auto"/>
        </w:rPr>
      </w:pPr>
    </w:p>
    <w:p>
      <w:pPr>
        <w:ind w:left="1280" w:hanging="624"/>
        <w:spacing w:after="0" w:line="286" w:lineRule="auto"/>
        <w:tabs>
          <w:tab w:leader="none" w:pos="12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a registration statement under the Securities Act, and the declaration of effectiveness of such registration statement.</w:t>
      </w:r>
    </w:p>
    <w:p>
      <w:pPr>
        <w:spacing w:after="0" w:line="154" w:lineRule="exact"/>
        <w:rPr>
          <w:rFonts w:ascii="Times New Roman" w:cs="Times New Roman" w:eastAsia="Times New Roman" w:hAnsi="Times New Roman"/>
          <w:sz w:val="18"/>
          <w:szCs w:val="18"/>
          <w:color w:val="auto"/>
        </w:rPr>
      </w:pPr>
    </w:p>
    <w:p>
      <w:pPr>
        <w:jc w:val="both"/>
        <w:ind w:left="1280" w:hanging="624"/>
        <w:spacing w:after="0" w:line="254" w:lineRule="auto"/>
        <w:tabs>
          <w:tab w:leader="none" w:pos="12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Ordinary Shares of the Company issued or to be issued upon conversion of the Preferred Shares; (ii) Ordinary Shares of the Company issued as (or issuable upon the conversion or exercise of any right or other security which is issued as) a dividend or other distribution with respect to, or in exchange for or in replacement of, any of the foregoing; (iii) any other Ordinary Share owned or hereafter acquired by the Parties, including Ordinary Shares issued in respect of the Ordinary Shares described in (i) – (ii) above upon any share split, share dividend, recapitalization or a similar event; and (iv) any depositary receipts issued by an institutional depositary upon deposit of any of the foregoing. Notwithstanding the foregoing,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shall not include any Registrable Securities sold by a person in a transaction in which rights under this Clause 24 are not assigned in accordance with this Agreement or any Registrable Securities sold in a public offering, whether sold pursuant to Rule 144 promulgated under the Securities Act, or in a registered offering, or otherwise.</w:t>
      </w:r>
    </w:p>
    <w:p>
      <w:pPr>
        <w:spacing w:after="0" w:line="200" w:lineRule="exact"/>
        <w:rPr>
          <w:sz w:val="20"/>
          <w:szCs w:val="20"/>
          <w:color w:val="auto"/>
        </w:rPr>
      </w:pPr>
    </w:p>
    <w:p>
      <w:pPr>
        <w:spacing w:after="0" w:line="20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8" w:name="page439"/>
    <w:bookmarkEnd w:id="438"/>
    <w:p>
      <w:pPr>
        <w:jc w:val="both"/>
        <w:ind w:left="1280" w:hanging="624"/>
        <w:spacing w:after="0" w:line="268" w:lineRule="auto"/>
        <w:tabs>
          <w:tab w:leader="none" w:pos="12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shall mean the number of Ordinary Shares of the Company that are Registrable Securities and are then issued and outstanding or would be outstanding assuming full conversion of all Registrable Securities which are convertible into Ordinary Shares.</w:t>
      </w:r>
    </w:p>
    <w:p>
      <w:pPr>
        <w:spacing w:after="0" w:line="170" w:lineRule="exact"/>
        <w:rPr>
          <w:rFonts w:ascii="Times New Roman" w:cs="Times New Roman" w:eastAsia="Times New Roman" w:hAnsi="Times New Roman"/>
          <w:sz w:val="18"/>
          <w:szCs w:val="18"/>
          <w:color w:val="auto"/>
        </w:rPr>
      </w:pPr>
    </w:p>
    <w:p>
      <w:pPr>
        <w:jc w:val="both"/>
        <w:ind w:left="1280" w:hanging="624"/>
        <w:spacing w:after="0" w:line="255" w:lineRule="auto"/>
        <w:tabs>
          <w:tab w:leader="none" w:pos="12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Clause 24, the term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person who holds Registrable Securities of record, whether such Registrable Securities were acquired directly from the Company or from another Holder in a permitted transfer, to whom the rights under this Clause 24 have been duly assigned in accordance with this Agreement; provided, however, that for purposes of this Agreement, a record holder of the Preferred Shares convertible into such Registrable Securities shall be deemed to be the Holder of such Registrable Securities; and provided, further, that (i) the Company shall in no event be obligated to register the Preferred Shares and that (ii) Holders of Registrable Securities will not be required to convert their Preferred Shares into Ordinary Share in order to exercise the registration rights granted hereunder, until immediately prior to the declaration of effectiveness of the registration statement for the offering to which the registration relates.</w:t>
      </w:r>
    </w:p>
    <w:p>
      <w:pPr>
        <w:spacing w:after="0" w:line="184" w:lineRule="exact"/>
        <w:rPr>
          <w:rFonts w:ascii="Times New Roman" w:cs="Times New Roman" w:eastAsia="Times New Roman" w:hAnsi="Times New Roman"/>
          <w:sz w:val="18"/>
          <w:szCs w:val="18"/>
          <w:color w:val="auto"/>
        </w:rPr>
      </w:pPr>
    </w:p>
    <w:p>
      <w:pPr>
        <w:jc w:val="both"/>
        <w:ind w:left="1280" w:hanging="624"/>
        <w:spacing w:after="0" w:line="268" w:lineRule="auto"/>
        <w:tabs>
          <w:tab w:leader="none" w:pos="12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Form F-3</w:t>
      </w:r>
      <w:r>
        <w:rPr>
          <w:rFonts w:ascii="Times New Roman" w:cs="Times New Roman" w:eastAsia="Times New Roman" w:hAnsi="Times New Roman"/>
          <w:sz w:val="18"/>
          <w:szCs w:val="18"/>
          <w:color w:val="auto"/>
        </w:rPr>
        <w:t>" means such respective form under the Securities Act as is in effect on the date hereof or any successor or comparable registration form under the Securities Act subsequently adopted by the SEC, which permits inclusion or incorporation of substantial information by reference to other documents filed by the Company with the SEC.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Registrations</w:t>
      </w:r>
    </w:p>
    <w:p>
      <w:pPr>
        <w:spacing w:after="0" w:line="229"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Company shall notify all Holders of Registrable Securities in writing at least thirty (30) days prior to filing of any registration statement under the Securities Act for purposes of effecting a public offering of securities of the Company (including registration statements relating to secondary offerings of securities of the Company, but excluding registration statements relating to any registration under Clause 24.4 of this Agreement or to any employee benefit plan or a corporate reorganization) and will afford each such Holder an opportunity to include in such registration statement all or any part of the Registrable Securities then held by such Holder. Each Holder desiring to include in any such registration statement all or any part of the Registrable Securities held by such Holder shall within ten (10) Business Days after receipt of the above-described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9" w:name="page440"/>
    <w:bookmarkEnd w:id="439"/>
    <w:p>
      <w:pPr>
        <w:jc w:val="both"/>
        <w:ind w:left="624" w:hanging="624"/>
        <w:spacing w:after="0" w:line="252" w:lineRule="auto"/>
        <w:tabs>
          <w:tab w:leader="none" w:pos="62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If a registration statement under which the Company gives notice under this Clause 24.3 is for an underwritten offering, then the Company shall so advise the Holders of Registrable Securities. In such event, the right of any such Holder’s Registrable Securities to be included in a registration pursuant to this Clause 24.3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managing underwriter or underwriters selected by the Company for such underwriting. Notwithstanding any other provision of this Agreement, if the managing underwriter(s) determine(s) in good faith that marketing factors require a limitation of the number of shares to be underwritten, then the managing underwriter(s) may exclude shares from the registration and the underwriting, and the number of shares that may be included in the registration and the underwriting shall be allocated, first to the Company, and second, to each of the Holders requesting inclusion of their Registrable Securities in such registration statement on a pro-rata basis based on the total number of Registrable Securities then held by each such Holder; provided, however, that the right of the underwriter(s) to exclude shares (including Registrable Securities) from the registration and underwriting as described above shall be restricted so that</w:t>
      </w:r>
    </w:p>
    <w:p>
      <w:pPr>
        <w:spacing w:after="0" w:line="2" w:lineRule="exact"/>
        <w:rPr>
          <w:rFonts w:ascii="Times New Roman" w:cs="Times New Roman" w:eastAsia="Times New Roman" w:hAnsi="Times New Roman"/>
          <w:sz w:val="18"/>
          <w:szCs w:val="18"/>
          <w:color w:val="auto"/>
        </w:rPr>
      </w:pPr>
    </w:p>
    <w:p>
      <w:pPr>
        <w:jc w:val="both"/>
        <w:ind w:left="62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number of Registrable Securities included in any such registration is not reduced below twenty-five percent (25%) of the aggregate number of Registrable Securities for which inclusion has been requested, even if this will cause the Company to reduce the number of shares it wishes to offer; and (ii) all shares that are not Registrable Securities and are held by any other person, including any person who is an employee, officer or director of the Company or any Subsidiary of the Company shall first be excluded from such registration and underwriting before any Registrable Securities are so excluded. If any Holder disapproves of the terms of any such underwriting, such Holder may elect to withdraw therefrom by delivering a written notice to the Company and the underwriter(s) at least ten (10) Business Days prior to the effective date of the registration statement. Any Registrable Securities excluded or withdrawn from such underwriting shall be excluded and withdrawn from the registration. For any Holder that is a partnership, the Holder and the partners and retired partners of such Holder, or the estates and family members of any such partners and retired partners and any trusts for the benefit of any of the foregoing Persons, and for any Holder that is a corporation, the Holder and all corporations that are affiliates of such Holder, shall be deemed to be a single "Holder", and any pro-rata reduction with respect to such "Holder" shall be based upon the aggregate amount of shares carrying registration rights owned by all entities and individuals included in such "Holder", as defined in this sentence.</w:t>
      </w:r>
    </w:p>
    <w:p>
      <w:pPr>
        <w:spacing w:after="0" w:line="192" w:lineRule="exact"/>
        <w:rPr>
          <w:rFonts w:ascii="Times New Roman" w:cs="Times New Roman" w:eastAsia="Times New Roman" w:hAnsi="Times New Roman"/>
          <w:sz w:val="18"/>
          <w:szCs w:val="18"/>
          <w:color w:val="auto"/>
        </w:rPr>
      </w:pPr>
    </w:p>
    <w:p>
      <w:pPr>
        <w:jc w:val="both"/>
        <w:ind w:left="624" w:hanging="624"/>
        <w:spacing w:after="0" w:line="256" w:lineRule="auto"/>
        <w:tabs>
          <w:tab w:leader="none" w:pos="62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shall pay all expenses (excluding only underwriting and brokers’ discounts and commissions relating to shares sold by the Holders) incurred in connection with a registration pursuant to this Clause 24.3, including all necessary and practicable U.S. federal, "blue sky" and foreign registration, filing and qualification fees, printers’ and accounting fees, the fees and expenses (including disbursements) of outside counsels for the Holders and any fee charged by any depositary bank, transfer agent or share registrar. For the avoidance of doubt, the Company shall pay all expenses incurred in connection with a registration pursuant to this Clause 24.3 notwithstanding the cancellation or delay of the registration proceeding for any reason.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440" w:name="page441"/>
    <w:bookmarkEnd w:id="440"/>
    <w:p>
      <w:pPr>
        <w:ind w:left="1280" w:hanging="624"/>
        <w:spacing w:after="0" w:line="282" w:lineRule="auto"/>
        <w:tabs>
          <w:tab w:leader="none" w:pos="12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Frequency</w:t>
      </w:r>
      <w:r>
        <w:rPr>
          <w:rFonts w:ascii="Times New Roman" w:cs="Times New Roman" w:eastAsia="Times New Roman" w:hAnsi="Times New Roman"/>
          <w:sz w:val="18"/>
          <w:szCs w:val="18"/>
          <w:color w:val="auto"/>
        </w:rPr>
        <w:t>. Except as otherwise provided herein, there shall be no limit on the number of times the Holders may request registration of Registrable Securities under this Clause 24.3.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or Form F-3 Registration</w:t>
      </w:r>
    </w:p>
    <w:p>
      <w:pPr>
        <w:spacing w:after="0" w:line="229"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If its IPO is a public offering in the United States pursuant to a registration statement under the Securities Act, after such initial public offering, the Company shall use its reasonable efforts to qualify for registration on Form S-3 or Form F-3 or any comparable or successor form promptly and to maintain such qualification thereafter. If the Company is qualified to use Form S-3 or Form F-3, any Holder or Holders holding Registrable Securities with an aggregate price to the public of at least $500,000 (or the equivalent in other currencies) shall have a right to request in writing that the Company effect a registration on either Form S-3 or Form F-3 and any related qualification or compliance with respect to all or a part of the Registrable Securities owned by such Holder or Holders, and upon receipt of each such request, the Company shall perform the tasks set out in paragraphs (a) and (b) below:</w:t>
      </w:r>
    </w:p>
    <w:p>
      <w:pPr>
        <w:spacing w:after="0" w:line="189" w:lineRule="exact"/>
        <w:rPr>
          <w:sz w:val="20"/>
          <w:szCs w:val="20"/>
          <w:color w:val="auto"/>
        </w:rPr>
      </w:pPr>
    </w:p>
    <w:p>
      <w:pPr>
        <w:ind w:left="1280" w:hanging="624"/>
        <w:spacing w:after="0" w:line="282" w:lineRule="auto"/>
        <w:tabs>
          <w:tab w:leader="none" w:pos="12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Promptly give written notice of the proposed registration and the Holder’s or Holders’ request therefor, and any related qualification or compliance, to all other Holders of Registrable Securities;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56" w:lineRule="auto"/>
        <w:tabs>
          <w:tab w:leader="none" w:pos="12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the date on which the Company provides the notice contemplated by Clause 24.4(a); provided, however, that the Company shall not be obligated to effect any such registration, qualification or compliance pursuant to this Clause 24.4:</w:t>
      </w:r>
    </w:p>
    <w:p>
      <w:pPr>
        <w:spacing w:after="0" w:line="18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or Form F-3 becomes unavailable for such offering by the Holders; or</w:t>
      </w:r>
    </w:p>
    <w:p>
      <w:pPr>
        <w:spacing w:after="0" w:line="225" w:lineRule="exact"/>
        <w:rPr>
          <w:rFonts w:ascii="Times New Roman" w:cs="Times New Roman" w:eastAsia="Times New Roman" w:hAnsi="Times New Roman"/>
          <w:sz w:val="18"/>
          <w:szCs w:val="18"/>
          <w:color w:val="auto"/>
        </w:rPr>
      </w:pPr>
    </w:p>
    <w:p>
      <w:pPr>
        <w:jc w:val="both"/>
        <w:ind w:left="1920" w:hanging="616"/>
        <w:spacing w:after="0" w:line="261" w:lineRule="auto"/>
        <w:tabs>
          <w:tab w:leader="none" w:pos="192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within the six (6) month period preceding the date of such request, already effected a registration under the Securities Act other than a registration from which the Registrable Securities of Holders have been excluded (with respect to all or any portion of the Registrable Securities the Holders requested be included in such registration) pursuant to the provisions of Clause 24.3(a).</w:t>
      </w:r>
    </w:p>
    <w:p>
      <w:pPr>
        <w:spacing w:after="0" w:line="179" w:lineRule="exact"/>
        <w:rPr>
          <w:rFonts w:ascii="Times New Roman" w:cs="Times New Roman" w:eastAsia="Times New Roman" w:hAnsi="Times New Roman"/>
          <w:sz w:val="18"/>
          <w:szCs w:val="18"/>
          <w:color w:val="auto"/>
        </w:rPr>
      </w:pPr>
    </w:p>
    <w:p>
      <w:pPr>
        <w:jc w:val="both"/>
        <w:ind w:left="1280" w:hanging="624"/>
        <w:spacing w:after="0" w:line="256" w:lineRule="auto"/>
        <w:tabs>
          <w:tab w:leader="none" w:pos="12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shall pay all expenses (excluding only underwriting or brokers’ discounts and commissions relating to shares sold by the Holders) incurred in connection with each registration requested pursuant to this Clause 24.4, including all necessary and practicable U.S. federal, "blue sky" and foreign registration, filing and qualification fees, printers’ and accounting fees, the fees and expenses (including disbursements) of outside counsels for the Holders and any fee charged by any depositary bank, transfer agent or share registrar. For the avoidance of doubt, the Company shall pay all expenses incurred in connection with a registration pursuant to this Clause 24.4 notwithstanding the cancellation or delay of the registration proceeding for any reason.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1" w:name="page442"/>
    <w:bookmarkEnd w:id="441"/>
    <w:p>
      <w:pPr>
        <w:ind w:left="1280" w:hanging="624"/>
        <w:spacing w:after="0" w:line="282" w:lineRule="auto"/>
        <w:tabs>
          <w:tab w:leader="none" w:pos="12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Frequency.</w:t>
      </w:r>
      <w:r>
        <w:rPr>
          <w:rFonts w:ascii="Times New Roman" w:cs="Times New Roman" w:eastAsia="Times New Roman" w:hAnsi="Times New Roman"/>
          <w:sz w:val="18"/>
          <w:szCs w:val="18"/>
          <w:color w:val="auto"/>
        </w:rPr>
        <w:t xml:space="preserve"> Except as otherwise provided herein, there shall be no limit on the number of times the Holders may request registration of Registrable Securities under this Clause 24.4.</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55" w:lineRule="auto"/>
        <w:tabs>
          <w:tab w:leader="none" w:pos="12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xml:space="preserve"> Notwithstanding the foregoing, if the Company shall furnish to Holders requesting the filing of a registration statement pursuant to this Clause 24.4, a certificate signed by the president or chief executive officer of the Company stating that in the good faith judgment of the Board, it would be materially detrimental to the Company and its shareholders for such Form S-3 or Form F-3 registration statement to be filed, then the Company shall have the right to defer such filing for a period of not more than ninety (90) days after receipt of the request of the initiating Holders; provided, however, that the Company may not utilize this right more than once in any twelve (12) month period; provided further that during such ninety (90) day period, the Company shall not file any registration statement pertaining to the public offering of any securities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of the Company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Whenever required to effect the registration of any Registrable Securities under this Agreement, the Company shall, as soon as practicable:</w:t>
      </w:r>
    </w:p>
    <w:p>
      <w:pPr>
        <w:spacing w:after="0" w:line="225" w:lineRule="exact"/>
        <w:rPr>
          <w:sz w:val="20"/>
          <w:szCs w:val="20"/>
          <w:color w:val="auto"/>
        </w:rPr>
      </w:pPr>
    </w:p>
    <w:p>
      <w:pPr>
        <w:jc w:val="both"/>
        <w:ind w:left="1280" w:hanging="624"/>
        <w:spacing w:after="0" w:line="261" w:lineRule="auto"/>
        <w:tabs>
          <w:tab w:leader="none" w:pos="1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Prepare and file with the SEC a registration statement with respect to such Registrable Securities and use its best efforts to cause such registration statement to become effective, and keep any such registration statement effective for a period of one</w:t>
      </w:r>
    </w:p>
    <w:p>
      <w:pPr>
        <w:ind w:left="1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or until the Holder or Holders have completed the distribution described in the registration statement relating thereto, whichever is earlier;</w:t>
      </w:r>
    </w:p>
    <w:p>
      <w:pPr>
        <w:spacing w:after="0" w:line="18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xml:space="preserve"> Prepare and file with the SEC such amendments and supplements to such registration statement and the prospectus used in connection with such registration statement as may be necessary to comply with the provisions of the Securities Act with respect to the disposition of all Registrable Securities covered by such registration statement;</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Prospectuses.</w:t>
      </w:r>
      <w:r>
        <w:rPr>
          <w:rFonts w:ascii="Times New Roman" w:cs="Times New Roman" w:eastAsia="Times New Roman" w:hAnsi="Times New Roman"/>
          <w:sz w:val="18"/>
          <w:szCs w:val="18"/>
          <w:color w:val="auto"/>
        </w:rPr>
        <w:t xml:space="preserve"> 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xml:space="preserve"> 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79" w:lineRule="exact"/>
        <w:rPr>
          <w:rFonts w:ascii="Times New Roman" w:cs="Times New Roman" w:eastAsia="Times New Roman" w:hAnsi="Times New Roman"/>
          <w:sz w:val="18"/>
          <w:szCs w:val="18"/>
          <w:color w:val="auto"/>
        </w:rPr>
      </w:pPr>
    </w:p>
    <w:p>
      <w:pPr>
        <w:jc w:val="both"/>
        <w:ind w:left="1280" w:hanging="624"/>
        <w:spacing w:after="0" w:line="261" w:lineRule="auto"/>
        <w:tabs>
          <w:tab w:leader="none" w:pos="1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If the registration relates to an offering of depositary shares or other securities representing Ordinary Shares deposited pursuant to a deposit agreement or similar facility, cause the depositary under such agreement or facility to accept for deposit under such agreement or facility all Registrable Securities requested by each Holder to be included in such registration in accordance with this Clause 24;</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2" w:name="page443"/>
    <w:bookmarkEnd w:id="442"/>
    <w:p>
      <w:pPr>
        <w:jc w:val="both"/>
        <w:ind w:left="640" w:hanging="624"/>
        <w:spacing w:after="0" w:line="266" w:lineRule="auto"/>
        <w:tabs>
          <w:tab w:leader="none" w:pos="6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75" w:lineRule="exact"/>
        <w:rPr>
          <w:rFonts w:ascii="Times New Roman" w:cs="Times New Roman" w:eastAsia="Times New Roman" w:hAnsi="Times New Roman"/>
          <w:sz w:val="18"/>
          <w:szCs w:val="18"/>
          <w:color w:val="auto"/>
        </w:rPr>
      </w:pPr>
    </w:p>
    <w:p>
      <w:pPr>
        <w:jc w:val="both"/>
        <w:ind w:left="640" w:hanging="624"/>
        <w:spacing w:after="0" w:line="261" w:lineRule="auto"/>
        <w:tabs>
          <w:tab w:leader="none" w:pos="6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9" w:lineRule="exact"/>
        <w:rPr>
          <w:rFonts w:ascii="Times New Roman" w:cs="Times New Roman" w:eastAsia="Times New Roman" w:hAnsi="Times New Roman"/>
          <w:sz w:val="18"/>
          <w:szCs w:val="18"/>
          <w:color w:val="auto"/>
        </w:rPr>
      </w:pPr>
    </w:p>
    <w:p>
      <w:pPr>
        <w:jc w:val="both"/>
        <w:ind w:left="640" w:hanging="624"/>
        <w:spacing w:after="0" w:line="253" w:lineRule="auto"/>
        <w:tabs>
          <w:tab w:leader="none" w:pos="6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and Comfort Letter.</w:t>
      </w:r>
      <w:r>
        <w:rPr>
          <w:rFonts w:ascii="Times New Roman" w:cs="Times New Roman" w:eastAsia="Times New Roman" w:hAnsi="Times New Roman"/>
          <w:sz w:val="18"/>
          <w:szCs w:val="18"/>
          <w:color w:val="auto"/>
        </w:rPr>
        <w:t xml:space="preserve"> Furnish, at the request of any Holder requesting registration of Registrable Securities, on the date that such Registrable Securities are delivered to the underwriter(s) for sale, if such Registrable Securities are being sold through underwriters, or, if such Registrable Securities are not being sold through underwriters, on the date that the registration statement with respect to such Registrable Securities becomes effective, (i) opinions, each dated as of such date, of the counsels representing the Company for the purposes of such registration, in form and substance as is customarily given to underwriters in an underwritten public offering and reasonably satisfactory to Holders representing a majority of the Registrable Securities requested to be registered, addressed to the underwriters, if any, and to the Holders requesting registration of Registrable Securities and (ii) a "comfort letter" dated as of such date, from the independent certified public accountants of the Company, in form and substance as is customarily given by independent certified public accountants to underwriters in an underwritten public offering and reasonably satisfactory to Holders representing a majority of the Registrable Securities requested to be registered, addressed to the underwriters, if any, and to the Holders requesting registration of Registrable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Furnish Information</w:t>
      </w:r>
    </w:p>
    <w:p>
      <w:pPr>
        <w:spacing w:after="0" w:line="229" w:lineRule="exact"/>
        <w:rPr>
          <w:sz w:val="20"/>
          <w:szCs w:val="20"/>
          <w:color w:val="auto"/>
        </w:rPr>
      </w:pPr>
    </w:p>
    <w:p>
      <w:pPr>
        <w:jc w:val="both"/>
        <w:ind w:hanging="633"/>
        <w:spacing w:after="0" w:line="266" w:lineRule="auto"/>
        <w:rPr>
          <w:sz w:val="20"/>
          <w:szCs w:val="20"/>
          <w:color w:val="auto"/>
        </w:rPr>
      </w:pPr>
      <w:r>
        <w:rPr>
          <w:rFonts w:ascii="Times New Roman" w:cs="Times New Roman" w:eastAsia="Times New Roman" w:hAnsi="Times New Roman"/>
          <w:sz w:val="18"/>
          <w:szCs w:val="18"/>
          <w:color w:val="auto"/>
        </w:rPr>
        <w:t>24.6</w:t>
      </w:r>
      <w:r>
        <w:rPr>
          <w:sz w:val="20"/>
          <w:szCs w:val="20"/>
          <w:color w:val="auto"/>
        </w:rPr>
        <w:t xml:space="preserve"> </w:t>
      </w:r>
      <w:r>
        <w:rPr>
          <w:rFonts w:ascii="Times New Roman" w:cs="Times New Roman" w:eastAsia="Times New Roman" w:hAnsi="Times New Roman"/>
          <w:sz w:val="18"/>
          <w:szCs w:val="18"/>
          <w:color w:val="auto"/>
        </w:rPr>
        <w:t>It shall be a condition precedent to the obligations of the Company to take any action pursuant to Clauses 24.3 and 24.4 that the Holders shall furnish to the Company information regarding such Holders, the Registrable Securities held by them and the intended method of disposition of such Registrable Securities as shall reasonably be required to timely effect the Registration of their Registrable Securities.</w:t>
      </w:r>
    </w:p>
    <w:p>
      <w:pPr>
        <w:spacing w:after="0" w:line="392"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960" w:top="904" w:right="339" w:bottom="1440" w:gutter="0" w:footer="0" w:header="0"/>
        </w:sectPr>
      </w:pPr>
    </w:p>
    <w:bookmarkStart w:id="443" w:name="page444"/>
    <w:bookmarkEnd w:id="443"/>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24.7</w:t>
      </w:r>
      <w:r>
        <w:rPr>
          <w:sz w:val="20"/>
          <w:szCs w:val="20"/>
          <w:color w:val="auto"/>
        </w:rPr>
        <w:tab/>
      </w:r>
      <w:r>
        <w:rPr>
          <w:rFonts w:ascii="Times New Roman" w:cs="Times New Roman" w:eastAsia="Times New Roman" w:hAnsi="Times New Roman"/>
          <w:sz w:val="18"/>
          <w:szCs w:val="18"/>
          <w:color w:val="auto"/>
        </w:rPr>
        <w:t>Indemnification. In the event any Registrable Securities are included in a registration statement under to Clauses 24.3 and 24.4:</w:t>
      </w:r>
    </w:p>
    <w:p>
      <w:pPr>
        <w:spacing w:after="0" w:line="225" w:lineRule="exact"/>
        <w:rPr>
          <w:sz w:val="20"/>
          <w:szCs w:val="20"/>
          <w:color w:val="auto"/>
        </w:rPr>
      </w:pPr>
    </w:p>
    <w:p>
      <w:pPr>
        <w:jc w:val="both"/>
        <w:ind w:left="1280" w:hanging="624"/>
        <w:spacing w:after="0" w:line="256" w:lineRule="auto"/>
        <w:tabs>
          <w:tab w:leader="none" w:pos="12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xml:space="preserve"> To the extent permitted by law, the Company shall indemnify and hold harmless each Holder and its Affiliates, partners, officers, directors, employee, legal counsel, agent, any underwriter (as determined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applicable law,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18"/>
          <w:szCs w:val="18"/>
          <w:b w:val="1"/>
          <w:bCs w:val="1"/>
          <w:color w:val="auto"/>
        </w:rPr>
        <w:t>Violation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such registration statement, including any preliminary prospectus or final prospectus contained therein or any amendments or supplements thereto;</w:t>
      </w:r>
    </w:p>
    <w:p>
      <w:pPr>
        <w:spacing w:after="0" w:line="161" w:lineRule="exact"/>
        <w:rPr>
          <w:rFonts w:ascii="Times New Roman" w:cs="Times New Roman" w:eastAsia="Times New Roman" w:hAnsi="Times New Roman"/>
          <w:sz w:val="18"/>
          <w:szCs w:val="18"/>
          <w:color w:val="auto"/>
        </w:rPr>
      </w:pPr>
    </w:p>
    <w:p>
      <w:pPr>
        <w:ind w:left="1920" w:hanging="616"/>
        <w:spacing w:after="0" w:line="282" w:lineRule="auto"/>
        <w:tabs>
          <w:tab w:leader="none" w:pos="19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or alleged omission to state therein a material fact required to be stated therein, or necessary to make the statements therein not misleading, or</w:t>
      </w:r>
    </w:p>
    <w:p>
      <w:pPr>
        <w:spacing w:after="0" w:line="161" w:lineRule="exact"/>
        <w:rPr>
          <w:rFonts w:ascii="Times New Roman" w:cs="Times New Roman" w:eastAsia="Times New Roman" w:hAnsi="Times New Roman"/>
          <w:sz w:val="18"/>
          <w:szCs w:val="18"/>
          <w:color w:val="auto"/>
        </w:rPr>
      </w:pPr>
    </w:p>
    <w:p>
      <w:pPr>
        <w:jc w:val="both"/>
        <w:ind w:left="1920" w:hanging="616"/>
        <w:spacing w:after="0" w:line="266" w:lineRule="auto"/>
        <w:tabs>
          <w:tab w:leader="none" w:pos="19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alleged violation of the Securities Act, the Exchange Act, any federal or state securities law or any rule or regulation promulgated under the Securities Act, the Exchange Act or other applicable law in connection with the offering covered by such registration statement;</w:t>
      </w:r>
    </w:p>
    <w:p>
      <w:pPr>
        <w:spacing w:after="0" w:line="17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and the Company shall reimburse each such Holder and its Affiliates, partners, officers, directors, employees, legal counsel, agents, underwriters or controlling Person for any legal or other expenses reasonably incurred by them, in connection with investigating or defending any such loss, claim, damage, liability or action; provided, however, that the indemnity contained in this Clause 24.7(a) shall not apply to amounts paid in settlement of any such loss, claim, damage, liability or action if such settlement is effected without the consent of the Company, which consent shall not be unreasonably withheld, conditioned or delayed,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underwriter or controlling Person of such Holder.</w:t>
      </w:r>
    </w:p>
    <w:p>
      <w:pPr>
        <w:spacing w:after="0" w:line="192" w:lineRule="exact"/>
        <w:rPr>
          <w:sz w:val="20"/>
          <w:szCs w:val="20"/>
          <w:color w:val="auto"/>
        </w:rPr>
      </w:pPr>
    </w:p>
    <w:p>
      <w:pPr>
        <w:jc w:val="both"/>
        <w:ind w:left="1280" w:hanging="624"/>
        <w:spacing w:after="0" w:line="252" w:lineRule="auto"/>
        <w:tabs>
          <w:tab w:leader="none" w:pos="12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Selling Shareholders.</w:t>
      </w:r>
      <w:r>
        <w:rPr>
          <w:rFonts w:ascii="Times New Roman" w:cs="Times New Roman" w:eastAsia="Times New Roman" w:hAnsi="Times New Roman"/>
          <w:sz w:val="18"/>
          <w:szCs w:val="18"/>
          <w:color w:val="auto"/>
        </w:rPr>
        <w:t xml:space="preserve"> To the extent permitted by law, each selling Holder, on a several and not joint basis, will indemnify and hold harmless the Company, each of its directors, each of its officers who have signed the registration statement, each Person, if any, who Controls the Company, any underwriter and any other Holder selling securities under such registration statement or any of such other Holder’s partners, directors, officers, legal counsel or any Person who Controls such Holder within the meaning of the Securities Act or the Exchange Act, against any losses, claims, damages or liabilities (joint or several) to which the Company or any such director, officer, legal counsel, controlling Person, underwriter or other such Holder, partner or director, officer or controlling Person of such other Holder may become subject under the Securities Act, the Exchange Act or other applicable law, insofar as such losses, claims, damages or liabilities or actions in respect thereto arise out of or are based upon any Violation, in each case to the extent (and only to the extent) that such Violation occurs in the Company’s reasonable reliance upon and in conformity with written information furnished by such Holder expressly for use in connection with such registration; and each such Holder will reimburse any legal or other expenses reasonably incurred by the Company or any such director, officer, controlling Person, underwriter or other Holder, partner, officer, director or controlling Person of such other Holder in connection with investigating or defending any such loss, claim, damage, liability or action: provided, however, that the indemnity contained in this Clause 24.7(b) shall not apply to amounts paid in settlement of any such loss, claim, damage, liability or action if such settlement is effected without the consent of the Holder, which consent shall not be unreasonably withheld; and provided further that the total amounts payable in indemnity by a Holder under this Clause 24.7(b) plus any amount under Clause 24.7(e) in respect of any Violation shall not exceed the net proceeds received by such Holder in the registered offering out of which such Violation arises.</w:t>
      </w:r>
    </w:p>
    <w:p>
      <w:pPr>
        <w:spacing w:after="0" w:line="200" w:lineRule="exact"/>
        <w:rPr>
          <w:sz w:val="20"/>
          <w:szCs w:val="20"/>
          <w:color w:val="auto"/>
        </w:rPr>
      </w:pPr>
    </w:p>
    <w:p>
      <w:pPr>
        <w:spacing w:after="0" w:line="20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4" w:name="page445"/>
    <w:bookmarkEnd w:id="444"/>
    <w:p>
      <w:pPr>
        <w:jc w:val="both"/>
        <w:ind w:left="624" w:hanging="624"/>
        <w:spacing w:after="0" w:line="253" w:lineRule="auto"/>
        <w:tabs>
          <w:tab w:leader="none" w:pos="62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Promptly after receipt by an indemnified party under this Clause 24.7 of notice of the commencement of any action, including any governmental action, such indemnified party will, if a claim in respect thereof is to be made against any indemnifying party under this Clause 24.7, deliver to the indemnifying party a written notice of the commencement thereof (a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 during the period from the delivery of a Claim Notice until retention of counsel by the indemnifying party; and (ii) if representation of such indemnified party by the counsel retained by the indemnifying party would be inappropriate due to actual or potential conflict of interests between such indemnified party and any other party represented by such counsel in such proceeding. The failure to deliver a written notice to the indemnifying party within a reasonable time of the commencement of any such action shall relieve such indemnifying party of liability to the indemnified party under this Clause 24.7 to the extent the indemnifying party is prejudiced as a result thereof, but the omission to deliver a written notice to the indemnified party will not relieve it of any liability that it may have to any indemnified party otherwise than under this Clause 24.7.</w:t>
      </w:r>
    </w:p>
    <w:p>
      <w:pPr>
        <w:spacing w:after="0" w:line="187" w:lineRule="exact"/>
        <w:rPr>
          <w:rFonts w:ascii="Times New Roman" w:cs="Times New Roman" w:eastAsia="Times New Roman" w:hAnsi="Times New Roman"/>
          <w:sz w:val="18"/>
          <w:szCs w:val="18"/>
          <w:color w:val="auto"/>
        </w:rPr>
      </w:pPr>
    </w:p>
    <w:p>
      <w:pPr>
        <w:jc w:val="both"/>
        <w:ind w:left="624" w:hanging="624"/>
        <w:spacing w:after="0" w:line="256" w:lineRule="auto"/>
        <w:tabs>
          <w:tab w:leader="none" w:pos="62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Defect Eliminated in Final Prospectus.</w:t>
      </w:r>
      <w:r>
        <w:rPr>
          <w:rFonts w:ascii="Times New Roman" w:cs="Times New Roman" w:eastAsia="Times New Roman" w:hAnsi="Times New Roman"/>
          <w:sz w:val="18"/>
          <w:szCs w:val="18"/>
          <w:color w:val="auto"/>
        </w:rPr>
        <w:t xml:space="preserve"> The foregoing indemnity of the Company and Holders are subject to the condition that, insofar as they relate to any Violation made in a preliminary prospectus but eliminated or remedied in the amended prospectus on file with the SEC at the time the registration statement in question becomes effective or the amended prospectus filed with the SEC pursuant to SEC Rule 424(b)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such indemnity shall not inure to the benefit of any Person if a copy of the Final Prospectus was timely furnished to the indemnified party and was not furnished to the Person asserting the loss, liability, claim or damage at or prior to the time such action is required by the Securities Act.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45" w:name="page446"/>
    <w:bookmarkEnd w:id="445"/>
    <w:p>
      <w:pPr>
        <w:ind w:left="1280" w:hanging="624"/>
        <w:spacing w:after="0"/>
        <w:tabs>
          <w:tab w:leader="none" w:pos="12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to joint liability under the Securities Act in any case in which either</w:t>
      </w:r>
    </w:p>
    <w:p>
      <w:pPr>
        <w:spacing w:after="0" w:line="27" w:lineRule="exact"/>
        <w:rPr>
          <w:rFonts w:ascii="Times New Roman" w:cs="Times New Roman" w:eastAsia="Times New Roman" w:hAnsi="Times New Roman"/>
          <w:sz w:val="18"/>
          <w:szCs w:val="18"/>
          <w:color w:val="auto"/>
        </w:rPr>
      </w:pPr>
    </w:p>
    <w:p>
      <w:pPr>
        <w:jc w:val="both"/>
        <w:ind w:left="12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Holder exercising rights under this Agreement, or any controlling Person of any such Holder, makes a claim for indemnification pursuant to this Clause 24.7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Clause 24.7 provides for indemnification in such case, or (ii) contribution under the Securities Act may be required on the part of any such selling Holder or any such controlling Person in circumstances for which indemnification is provided under this Clause 24.7; then, and in each such case, the Company and such Holder will contribute to the aggregate losses, claims, damages or liabilities to which they may be subject (after contribution from others)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however, that, in any such case: (A) no such Holder will be required to contribute any amount in excess of the net proceeds received by such Holder pursuant to such registration statement absent guilty of such fraudulent misrepresentation; and (B) no Person or entity guilty of fraudulent misrepresentation as defined in Section 11(f) of the Securities Act will be entitled to contribution from any person or entity who was not guilty of such fraudulent misrepresentation.</w:t>
      </w:r>
    </w:p>
    <w:p>
      <w:pPr>
        <w:spacing w:after="0" w:line="191"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obligations of the Company and Holders under this Clause 24.7 shall survive for six (6) years after the completion of any offering of Registrable Securities in a registration statement, regardless of the expiration of any statutes of limitation or extensions of such statutes.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 Reporting</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8"/>
          <w:szCs w:val="18"/>
          <w:color w:val="auto"/>
        </w:rPr>
        <w:t>With a view to making available to the Holders the benefits of certain rules and regulations of the SEC which may permit the sale of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Registrable Securities to the public without registration, the Company agrees to:</w:t>
      </w:r>
    </w:p>
    <w:p>
      <w:pPr>
        <w:spacing w:after="0" w:line="207" w:lineRule="exact"/>
        <w:rPr>
          <w:sz w:val="20"/>
          <w:szCs w:val="20"/>
          <w:color w:val="auto"/>
        </w:rPr>
      </w:pPr>
    </w:p>
    <w:p>
      <w:pPr>
        <w:jc w:val="both"/>
        <w:ind w:left="1280" w:hanging="624"/>
        <w:spacing w:after="0" w:line="266" w:lineRule="auto"/>
        <w:tabs>
          <w:tab w:leader="none" w:pos="12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 or any similar or analogous rule promulgated under the Securities Act, at all times after the effective date of the first registration filed by the Company for an offering of its securities to the general public;</w:t>
      </w:r>
    </w:p>
    <w:p>
      <w:pPr>
        <w:spacing w:after="0" w:line="17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or the Exchange Act, at all times after the effective date of the first registration under the Securities Act filed by the Company; and</w:t>
      </w:r>
    </w:p>
    <w:p>
      <w:pPr>
        <w:spacing w:after="0" w:line="161" w:lineRule="exact"/>
        <w:rPr>
          <w:rFonts w:ascii="Times New Roman" w:cs="Times New Roman" w:eastAsia="Times New Roman" w:hAnsi="Times New Roman"/>
          <w:sz w:val="18"/>
          <w:szCs w:val="18"/>
          <w:color w:val="auto"/>
        </w:rPr>
      </w:pPr>
    </w:p>
    <w:p>
      <w:pPr>
        <w:jc w:val="both"/>
        <w:ind w:left="1280" w:hanging="624"/>
        <w:spacing w:after="0" w:line="258" w:lineRule="auto"/>
        <w:tabs>
          <w:tab w:leader="none" w:pos="12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to such Holder forthwith upon request, (i) a written statement by the Company as to its compliance with the reporting requirements of said Rule 144 of the Securities Act, and of the Exchange Act (at any time after it has become subject to such reporting requirements, (ii) a copy of the most recent annual, interim, quarterly or other report of the Company and, (iii) such other reports and documents as a Holder may reasonably request availing itself of any rule or regulation of the SEC allowing it to sell any such securities without registration.</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Company’s Obligations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8"/>
          <w:szCs w:val="18"/>
          <w:color w:val="auto"/>
        </w:rPr>
        <w:t>Notwithstanding the foregoing, the Company shall have no obligations pursuant to Clauses 24.3 and 24.4 with respect to any Registrable Securities proposed to be sold by a Holder in a registered public offering (i) five (5) years after the consummation of a Qualified IPO, or (ii), if, in the opinion of counsel to the Company, all such Registrable Securities proposed to be sold by a Holder may then be sold under Rule 144 in one transaction without exceeding the volume limitations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Registration Rights to Third Parties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24.10</w:t>
        <w:tab/>
        <w:t>Without the prior written consent of the at least two-thirds (2/3) of the Preferred Shareholders, the Company covenants and agrees that it shall not grant, or cause or permit to be created, for the benefit of any Person or entity any registration rights of any kind, whether similar to the demand, "piggyback" or Form S-3 or Form F-3 registration rights described in this Clause 24, or otherwise, relating to any shares or other securities of the Company, other than rights that are subordinate to the rights of the Holders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Market Stand-Off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p>
    <w:p>
      <w:pPr>
        <w:spacing w:after="0" w:line="229" w:lineRule="exact"/>
        <w:rPr>
          <w:sz w:val="20"/>
          <w:szCs w:val="20"/>
          <w:color w:val="auto"/>
        </w:rPr>
      </w:pPr>
    </w:p>
    <w:p>
      <w:pPr>
        <w:jc w:val="both"/>
        <w:ind w:left="64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24.11</w:t>
        <w:tab/>
        <w:t>Each Holder hereby agrees that, if and to the extent requested by the lead underwriter of securities of the Company in connection with a registration relating to a specific proposed public offering (other than a registration on Form S-8 or a related or successor form relating solely to an employee benefit plan or a registration on Form S-4 or a related or successor form relating solely to a transaction under SEC Rule 145), such Holder will, subject to the following conditions, enter into a lock-up or standoff agreement in customary form (subject to the following conditions) under which such Holder agrees not to sell or otherwise transfer or dispose of any Registrable Securities or other shares of the Company owned by such Holder as of the date of such registration for up to one hundred eighty (180) days following the effective date of the related registration statement. The obligations of each Holder under this Clause 24.11 are subject to the following conditions: (i) the lockup or standoff agreement applies only to the first registration statement of the Company which covers securities to be sold on its behalf to the public in an underwritten offering, but not to Registrable Securities actually sold pursuant to such registration statement; (ii) such Holder is satisfied that all directors, officers, and holders of 1% or more of any class of securities of the Company are bound by substantially identical restrictions; (iii) the lockup or standoff agreement provides that if any securities of the Company are to be excluded or released in whole or part from such restrictions, the underwriter shall so notify each Holder within three (3) days and each Holder shall be excluded or released, in proportionate amounts to the extent of the exclusion or release with respect to any other holder of Company’s securities, including any director, officer, or holder of 1% or more of any class of securities of the Company subject to such restrictions; and (iv) the lockup or standoff agreement by its terms permits transfers of Registrable Securities by any Holder to any Affiliate of such Holder during the restricted period, provided that such Affiliate executes a lock-up or standoff agreement substantively identical to that signed by the transferring Holder. The lock-up or standoff agreement shall expire no later than ninety (90) days after execution by the Holder if no underwritten public offering has occurred by the date of such execution. The Company may impose a stop-transfer restriction with respect to Registrable Securities that are that are subject to any such lockup or standoff agreement, but shall remove such restriction immediately upon the expiration or termination of such lockup or standoff agreement.</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Rights (Non-U.S. Offerings)</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24.12</w:t>
        <w:tab/>
        <w:t>If shares of the Company are offered in an underwritten public offering (whether or not a Qualified IPO) outside of the United States for the account of any Ordinary Shareholder or other shareholders, each Holder shall have the right to include a pro-rata number of shares (based on the number of shares (on an as-converted basis) then held by such Holder and all other shareholders of the Company selling in such offering) in such offering on terms and conditions no less favorable to the Holders than to any other selling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 Rights</w:t>
      </w:r>
    </w:p>
    <w:p>
      <w:pPr>
        <w:spacing w:after="0" w:line="229"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24.13</w:t>
        <w:tab/>
        <w:t>The Company shall use its best efforts to assist each Holder in the sale or disposition of its Registrable Securities after a Qualified IPO, including the prompt delivery of applicable instruction letters by the Company and legal opinions from the Company’s counsels in forms reasonably satisfactory to the Holder’s counsel. In the event the Company has depositary receipts listed or traded on any stock exchange or inter-dealer quotation system, the Company shall pay all costs and fees related to such depositary facility, including conversion fees and maintenance fees for Registrable Securities held by the Holders.</w:t>
      </w:r>
    </w:p>
    <w:p>
      <w:pPr>
        <w:spacing w:after="0" w:line="179" w:lineRule="exact"/>
        <w:rPr>
          <w:sz w:val="20"/>
          <w:szCs w:val="20"/>
          <w:color w:val="auto"/>
        </w:rPr>
      </w:pPr>
    </w:p>
    <w:p>
      <w:pPr>
        <w:ind w:left="640" w:hanging="632"/>
        <w:spacing w:after="0"/>
        <w:tabs>
          <w:tab w:leader="none" w:pos="640"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Unless otherwise provided in this Agreement, this Agreement can be terminated only in accordance with the following provisions of this Clause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25.</w:t>
      </w:r>
    </w:p>
    <w:p>
      <w:pPr>
        <w:spacing w:after="0" w:line="207"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This Agreement and the transactions contemplated under this Agreement may be terminated by the written agreement of the Shareholders or upon all Shares being held by the same Shareholder.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7"/>
          <w:szCs w:val="17"/>
          <w:color w:val="auto"/>
        </w:rPr>
        <w:t>This Agreement shall terminate automatically without notice on the date:</w:t>
      </w:r>
    </w:p>
    <w:p>
      <w:pPr>
        <w:spacing w:after="0" w:line="225" w:lineRule="exact"/>
        <w:rPr>
          <w:sz w:val="20"/>
          <w:szCs w:val="20"/>
          <w:color w:val="auto"/>
        </w:rPr>
      </w:pPr>
    </w:p>
    <w:p>
      <w:pPr>
        <w:ind w:left="1280" w:hanging="624"/>
        <w:spacing w:after="0" w:line="282" w:lineRule="auto"/>
        <w:tabs>
          <w:tab w:leader="none" w:pos="12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Qualified IPO, or any initial public offering of the Company or the Group (provided that Clause 24 shall continue pursuant to its terms);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which all of the Shares are owned by one (1) Shareholder;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Shareholder, upon that Shareholder ceasing to hold any Shares; or</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liquidation or the making of an order for the winding-up of the Company (other than for the purpose of reconstruction or amalgamation).</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color w:val="auto"/>
        </w:rPr>
        <w:t>Upon the termination of this Agreement the provisions of this Agreement (other than the Surviving Provisions) shall cease to have effect in relation to the former Shareholder save as may be necessary to give effect to any antecedent claims which may have arisen between the Parties. The termination of this Agreement shall not affect any rights, obligations, liabilities under or pursuant to this Agreement which have accrued prior to such termination.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8" w:name="page449"/>
    <w:bookmarkEnd w:id="448"/>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do and execute or procure to be done and executed all such further acts, deeds, documents and things as may be necessary to give full effect to the terms of this Agreement.</w:t>
      </w:r>
    </w:p>
    <w:p>
      <w:pPr>
        <w:spacing w:after="0" w:line="15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announcements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undertakes that it will not (save as required by Applicable Law or any applicable Government Authority) make any announcement in connection with this Agreement unless the other Parties shall have given their respective consents to such announcement (which consents may not be unreasonably withheld and may be given either generally or in a specific case or cases and may be subject to conditions).</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partnership</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or implied in this Agreement shall constitute or be deemed to constitute a partnership or agency between the Parties and save as expressly agreed herein none of the Parties shall have any authority to bind or commit any other Party.</w:t>
      </w:r>
    </w:p>
    <w:p>
      <w:pPr>
        <w:spacing w:after="0" w:line="15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with the Articles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Shareholders hereby agree that if and to the extent that the Articles conflict with the provisions of this Agreement, this Agreement shall prevail for so long as it is in force to regulate the way in which they exercise their respective voting rights as shareholders of the Company and each Shareholder shall take all such further steps as may be necessary or requisite to ensure that the provisions of this Agreement shall prevail.</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acknowledges and agrees that if any of them shall breach the warranties, representations, indemnities, covenants, agreements, undertakings, and obligations (for the purposes of this Clause referred to as the "</w:t>
      </w:r>
      <w:r>
        <w:rPr>
          <w:rFonts w:ascii="Times New Roman" w:cs="Times New Roman" w:eastAsia="Times New Roman" w:hAnsi="Times New Roman"/>
          <w:sz w:val="18"/>
          <w:szCs w:val="18"/>
          <w:b w:val="1"/>
          <w:bCs w:val="1"/>
          <w:color w:val="auto"/>
        </w:rPr>
        <w:t>Agreed Terms</w:t>
      </w:r>
      <w:r>
        <w:rPr>
          <w:rFonts w:ascii="Times New Roman" w:cs="Times New Roman" w:eastAsia="Times New Roman" w:hAnsi="Times New Roman"/>
          <w:sz w:val="18"/>
          <w:szCs w:val="18"/>
          <w:color w:val="auto"/>
        </w:rPr>
        <w:t>") on each of their parts contained in this Agreement or any other agreement entered into pursuant to it, damages may not be an adequate remedy in which case the Agreed Terms shall be enforceable by injunction, order for specific performance or such other equitable relief as a court of competent jurisdiction may see fit to award.</w:t>
      </w:r>
    </w:p>
    <w:p>
      <w:pPr>
        <w:spacing w:after="0" w:line="175"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pay its own costs and disbursements of and incidental to the preparation and execution of this Agreement.</w:t>
      </w:r>
    </w:p>
    <w:p>
      <w:pPr>
        <w:spacing w:after="0" w:line="22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Save as otherwise provided herein, the benefits and obligations conferred by this Agreement upon each of the Parties are personal to that Party and shall not be, and shall not be capable of being, assigned, delegated, transferred or otherwise disposed of save with the written consent of each of the other Parties.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9" w:name="page450"/>
    <w:bookmarkEnd w:id="449"/>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(together with any documents referred to herein or executed contemporaneously by the Parties in connection herewith) constitutes the whole agreement between the Parties and supersedes any previous agreements (including, for the avoidance of doubt, the fourth amended and restated shareholders' agreement entered into by the Parties on 10 January 2023), arrangements or understandings between any of them relating to the subject matter hereof. Each of the Parties acknowledges that it is not relying on any statements, warranties or representations given or made by any of them relating to the subject matter hereof, save as expressly set out in this Agreement.</w:t>
      </w:r>
    </w:p>
    <w:p>
      <w:pPr>
        <w:spacing w:after="0" w:line="179"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third parties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who is not a party to this Agreement shall not have any rights under the Third Party Rights Ordinance to enforce, or to enjoy the benefit of, any term of this Agreement, save that Clause 18 is intended to be enforceable by a Party's Affiliates by virtue of the Third Party Rights Ordinance. Notwithstanding the provisions of Clause 34, this Agreement may be rescinded or varied in any way and at any time by the Parties without the consent of by any person who is not a party to this Agreement.</w:t>
      </w:r>
    </w:p>
    <w:p>
      <w:pPr>
        <w:spacing w:after="0" w:line="175"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variation or amendment to this Agreement shall be effective unless in writing signed by authorised representatives of each of the Parties.</w:t>
      </w:r>
    </w:p>
    <w:p>
      <w:pPr>
        <w:spacing w:after="0" w:line="22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notice, demand or other communication given or made under this Agreement shall be in writing and delivered or sent to the relevant Party at its address or email address set out in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(or such other address or email address as the addressee has by five (5) days' prior written notice specified to the other Parties).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demand or other communication so addressed to the relevant Party shall be deemed to have been delivered: (a) if given or made by letter, when actually delivered to the relevant address; and (b) if given or made by email, when despatched.</w:t>
      </w:r>
    </w:p>
    <w:p>
      <w:pPr>
        <w:spacing w:after="0" w:line="15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or delay by any Party in exercising any right, power or remedy under this Agreement shall operate as a waiver thereof, nor shall any single or partial exercise of the same preclude any further exercise thereof or the exercise of any other right, power or remedy. Without limiting the foregoing, no waiver by any Party of any breach of any provision hereof shall be deemed to be a waiver of any subsequent breach of that or any other provision hereof.</w:t>
      </w:r>
    </w:p>
    <w:p>
      <w:pPr>
        <w:spacing w:after="0" w:line="175"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or part of a provision of this Agreement or its application to any Party, shall be, or be found by any authority of competent jurisdiction to be, invalid or unenforceable, such invalidity or unenforceability shall not affect the other provisions or parts of such provisions of this Agreement, all of which shall remain in full force and effect.</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 by Company</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terms of this Agreement and in consideration of the Shareholders agreeing to enter into it undertakes that it will not, and so far as it is able will procure that no other person will, do anything which is in breach of or inconsistent with the terms hereof.</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0" w:name="page451"/>
    <w:bookmarkEnd w:id="450"/>
    <w:p>
      <w:pPr>
        <w:ind w:left="632" w:hanging="632"/>
        <w:spacing w:after="0"/>
        <w:tabs>
          <w:tab w:leader="none" w:pos="632"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entered into on separate engrossments, each of which when so executed and delivered shall be an original but each engrossment shall together constitute one and the same instrument and shall take effect from the time of execution of the last engrossment.</w:t>
      </w:r>
    </w:p>
    <w:p>
      <w:pPr>
        <w:spacing w:after="0" w:line="157" w:lineRule="exact"/>
        <w:rPr>
          <w:rFonts w:ascii="Times New Roman" w:cs="Times New Roman" w:eastAsia="Times New Roman" w:hAnsi="Times New Roman"/>
          <w:sz w:val="18"/>
          <w:szCs w:val="18"/>
          <w:b w:val="1"/>
          <w:bCs w:val="1"/>
          <w:color w:val="auto"/>
        </w:rPr>
      </w:pPr>
    </w:p>
    <w:p>
      <w:pPr>
        <w:ind w:left="632" w:hanging="632"/>
        <w:spacing w:after="0"/>
        <w:tabs>
          <w:tab w:leader="none" w:pos="632"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provisions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provisions of this Agreement shall remain in full force and effect notwithstanding Completion (except insofar as they set out obligations which have been fully performed at Completion).</w:t>
      </w:r>
    </w:p>
    <w:p>
      <w:pPr>
        <w:spacing w:after="0" w:line="157" w:lineRule="exact"/>
        <w:rPr>
          <w:rFonts w:ascii="Times New Roman" w:cs="Times New Roman" w:eastAsia="Times New Roman" w:hAnsi="Times New Roman"/>
          <w:sz w:val="18"/>
          <w:szCs w:val="18"/>
          <w:b w:val="1"/>
          <w:bCs w:val="1"/>
          <w:color w:val="auto"/>
        </w:rPr>
      </w:pPr>
    </w:p>
    <w:p>
      <w:pPr>
        <w:ind w:left="632" w:hanging="632"/>
        <w:spacing w:after="0"/>
        <w:tabs>
          <w:tab w:leader="none" w:pos="632"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632" w:right="20" w:hanging="633"/>
        <w:spacing w:after="0" w:line="284" w:lineRule="auto"/>
        <w:tabs>
          <w:tab w:leader="none" w:pos="612"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This Agreement (including the arbitration agreement under Clause 43.3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shall be governed by and construed in accordance with the laws of Hong Kong.</w:t>
      </w:r>
    </w:p>
    <w:p>
      <w:pPr>
        <w:spacing w:after="0" w:line="156" w:lineRule="exact"/>
        <w:rPr>
          <w:sz w:val="20"/>
          <w:szCs w:val="20"/>
          <w:color w:val="auto"/>
        </w:rPr>
      </w:pPr>
    </w:p>
    <w:p>
      <w:pPr>
        <w:ind w:left="632" w:hanging="632"/>
        <w:spacing w:after="0"/>
        <w:tabs>
          <w:tab w:leader="none" w:pos="632"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jc w:val="both"/>
        <w:ind w:left="632" w:hanging="633"/>
        <w:spacing w:after="0" w:line="256" w:lineRule="auto"/>
        <w:tabs>
          <w:tab w:leader="none" w:pos="612"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The Parties hereby agree that if any claim, dispute or difference of whatever nature arises under or in connection with any of the Transaction Documents, including any question regarding its existence, validity, termination, performance, breach or any non-contractual obligations arising out of or in connection with such Transaction Documents, or any matter arising under a notice upon the occurrence of any Default Event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then any Party can give notice to the other Parties setting out particulars of the Dispute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Upon the issuance of a Dispute Notice, an authorized representative of each of the relevant Parties must meet to attempt to resolve the Dispute within twenty-one (21) days of service of the Dispute Notice.</w:t>
      </w:r>
    </w:p>
    <w:p>
      <w:pPr>
        <w:spacing w:after="0" w:line="187" w:lineRule="exact"/>
        <w:rPr>
          <w:sz w:val="20"/>
          <w:szCs w:val="20"/>
          <w:color w:val="auto"/>
        </w:rPr>
      </w:pPr>
    </w:p>
    <w:p>
      <w:pPr>
        <w:jc w:val="both"/>
        <w:ind w:left="632" w:hanging="633"/>
        <w:spacing w:after="0" w:line="255" w:lineRule="auto"/>
        <w:tabs>
          <w:tab w:leader="none" w:pos="612"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If the authorized representatives of the relevant Parties are unable to resolve the Dispute within twenty-one (21) days of service of the Dispute Notice pursuant to Clause 43.1, then the relevant Parties shall seek to settle that Dispute through mediation. Such mediation shall be conducted in accordance with the Mediation Rules of the Law Society of Hong Kong in force at the time the notice of mediation is submitted, which rules are deemed to be incorporated by reference into this Clause 43.2. Any Party may initiate mediation by delivering a written request for mediation to the other Party(ies) with copies to the Law Society. There shall be one (1) mediator who shall be a Law Society of Hong Kong Accredited General Mediator to be agreed and appointed jointly by the Parties. The language to be used in the mediation shall be English. The place of mediation shall be in Hong Kong.</w:t>
      </w:r>
    </w:p>
    <w:p>
      <w:pPr>
        <w:spacing w:after="0" w:line="189" w:lineRule="exact"/>
        <w:rPr>
          <w:sz w:val="20"/>
          <w:szCs w:val="20"/>
          <w:color w:val="auto"/>
        </w:rPr>
      </w:pPr>
    </w:p>
    <w:p>
      <w:pPr>
        <w:jc w:val="both"/>
        <w:ind w:left="632" w:hanging="633"/>
        <w:spacing w:after="0" w:line="261" w:lineRule="auto"/>
        <w:tabs>
          <w:tab w:leader="none" w:pos="612"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If the Dispute is not resolved by mediation within thirty (30) days of the submission of the notice of mediation referred to in Clause 43.2 above, or such longer period as may be agreed between the Parties, such Dispute shall then be referred to and finally resolved by arbitration in Hong Kong administered by the Hong Kong International Arbitration Centre (the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under the HKIAC Administered Arbitration Rules in force when the Notice of Arbitration is submitted. There shall be three (3) arbitrators. The language of the arbitral proceedings shall be English.</w:t>
      </w:r>
    </w:p>
    <w:p>
      <w:pPr>
        <w:spacing w:after="0" w:line="396" w:lineRule="exact"/>
        <w:rPr>
          <w:sz w:val="20"/>
          <w:szCs w:val="20"/>
          <w:color w:val="auto"/>
        </w:rPr>
      </w:pPr>
    </w:p>
    <w:p>
      <w:pPr>
        <w:ind w:left="11052"/>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51" w:name="page452"/>
    <w:bookmarkEnd w:id="451"/>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The Parties acknowledge that monetary damages alone may not adequately compensate the Parties for any breach of the other Party's undertakings in this Agreement. As such, notwithstanding the above provisions, any Party may apply for a preservation order or seek injunctive relief or other interim relief in any court of competent jurisdiction.</w:t>
      </w:r>
    </w:p>
    <w:p>
      <w:pPr>
        <w:spacing w:after="0" w:line="176"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43.5</w:t>
      </w:r>
      <w:r>
        <w:rPr>
          <w:sz w:val="20"/>
          <w:szCs w:val="20"/>
          <w:color w:val="auto"/>
        </w:rPr>
        <w:tab/>
      </w:r>
      <w:r>
        <w:rPr>
          <w:rFonts w:ascii="Times New Roman" w:cs="Times New Roman" w:eastAsia="Times New Roman" w:hAnsi="Times New Roman"/>
          <w:sz w:val="18"/>
          <w:szCs w:val="18"/>
          <w:color w:val="auto"/>
        </w:rPr>
        <w:t xml:space="preserve">Each Party hereby irrevocably appoints such persons listed against its name in column 2 of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as its agent to receive and acknowledge on behalf of such Party the service of any writ, summons, order, judgment or other notice of legal process in Hong Kong. If for any reason the agent named above (or its successor) no longer serves as agent of such Party for this purpose, such Party shall promptly appoint a successor agent and notify the other Parties thereof, provided that until the other Parties receive such notification, such Parties shall be entitled to treat the agent named above (or its said successor) as the agent of such Party for the purposes of this Clause 43.5. Such Party hereby acknowledges and agrees that any such legal process shall be sufficiently served on it if delivered to such agent for service at its address for the time being in Hong Kong whether or not such agent gives notice thereof to such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this Agreement at the end of the Schedules and Exhibits on the date first above written.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2" w:name="page453"/>
    <w:bookmarkEnd w:id="45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List of Parties</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3" w:name="page454"/>
    <w:bookmarkEnd w:id="45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List of Shareholders</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4" w:name="page455"/>
    <w:bookmarkEnd w:id="45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Particulars of the Company</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5" w:name="page456"/>
    <w:bookmarkEnd w:id="455"/>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List of Key Subsidiaries</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6" w:name="page457"/>
    <w:bookmarkEnd w:id="45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Corporate Structure of the Group as at Completion (assuming the completion of the Restructuring Plan)</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7" w:name="page458"/>
    <w:bookmarkEnd w:id="457"/>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6</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8" w:name="page459"/>
    <w:bookmarkEnd w:id="45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Reserved Matters</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9" w:name="page460"/>
    <w:bookmarkEnd w:id="45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8</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Transfers of Shares</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0" w:name="page461"/>
    <w:bookmarkEnd w:id="46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9</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Competing Business</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1" w:name="page462"/>
    <w:bookmarkEnd w:id="46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10</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Performance Ratchet</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2" w:name="page463"/>
    <w:bookmarkEnd w:id="46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Redemption Trigger Events</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3" w:name="page464"/>
    <w:bookmarkEnd w:id="46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12</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Notice and Process Agent</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4" w:name="page465"/>
    <w:bookmarkEnd w:id="46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13</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Deed of Adherence</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 Yau Kwan Ho</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Mario Yau Kwan Ho</w:t>
            </w:r>
          </w:p>
        </w:tc>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Mario Yau Kwan Ho</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Liwei Sun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 Yau Kwan Ho</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Liwei Sun</w:t>
            </w:r>
          </w:p>
        </w:tc>
      </w:tr>
      <w:tr>
        <w:trPr>
          <w:trHeight w:val="42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Rui Zhou</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Lei Zhang</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Rui Zhou</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 Zhang</w:t>
            </w:r>
          </w:p>
        </w:tc>
      </w:tr>
      <w:tr>
        <w:trPr>
          <w:trHeight w:val="42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Seventh Hokage Management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xiaOt Sun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 Yau Kwan Ho</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Liwei Sun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Mario Yau Kwan Ho</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Liwei Sun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Ayisia Zhou Holdings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RayZ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Rui Zhou</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 Zhang</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Rui Zhou</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Lei Zhang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ectPr>
          <w:pgSz w:w="11900" w:h="16838" w:orient="portrait"/>
          <w:cols w:equalWidth="0" w:num="1">
            <w:col w:w="11220"/>
          </w:cols>
          <w:pgMar w:left="320" w:top="900" w:right="359" w:bottom="1440" w:gutter="0" w:footer="0" w:header="0"/>
        </w:sectPr>
      </w:pPr>
    </w:p>
    <w:p>
      <w:pPr>
        <w:spacing w:after="0" w:line="239" w:lineRule="exact"/>
        <w:rPr>
          <w:sz w:val="20"/>
          <w:szCs w:val="20"/>
          <w:color w:val="auto"/>
        </w:rPr>
      </w:pPr>
    </w:p>
    <w:p>
      <w:pPr>
        <w:ind w:right="140"/>
        <w:spacing w:after="0" w:line="234" w:lineRule="exact"/>
        <w:rPr>
          <w:sz w:val="20"/>
          <w:szCs w:val="20"/>
          <w:color w:val="auto"/>
        </w:rPr>
      </w:pPr>
      <w:r>
        <w:rPr>
          <w:rFonts w:ascii="Times New Roman" w:cs="Times New Roman" w:eastAsia="Times New Roman" w:hAnsi="Times New Roman"/>
          <w:sz w:val="18"/>
          <w:szCs w:val="18"/>
          <w:b w:val="1"/>
          <w:bCs w:val="1"/>
          <w:color w:val="auto"/>
        </w:rPr>
        <w:t>Wuhan Donghu Luxin Yuanlin Co., Ltd. (</w:t>
      </w:r>
      <w:r>
        <w:rPr>
          <w:rFonts w:ascii="SimSun" w:cs="SimSun" w:eastAsia="SimSun" w:hAnsi="SimSun"/>
          <w:sz w:val="18"/>
          <w:szCs w:val="18"/>
          <w:color w:val="auto"/>
        </w:rPr>
        <w:t>武汉东湖绿欣园林有限公司</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as general partner for and on behalf of</w:t>
      </w:r>
    </w:p>
    <w:p>
      <w:pPr>
        <w:spacing w:after="0" w:line="1"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b w:val="1"/>
          <w:bCs w:val="1"/>
          <w:color w:val="auto"/>
        </w:rPr>
        <w:t>Shanghai Yuyun Management Partnership (Limited Partnership) (</w:t>
      </w:r>
      <w:r>
        <w:rPr>
          <w:rFonts w:ascii="SimSun" w:cs="SimSun" w:eastAsia="SimSun" w:hAnsi="SimSun"/>
          <w:sz w:val="18"/>
          <w:szCs w:val="18"/>
          <w:color w:val="auto"/>
          <w:highlight w:val="black"/>
        </w:rPr>
        <w:t>上海</w:t>
      </w:r>
      <w:r>
        <w:rPr>
          <w:rFonts w:ascii="SimSun" w:cs="SimSun" w:eastAsia="SimSun" w:hAnsi="SimSun"/>
          <w:sz w:val="18"/>
          <w:szCs w:val="18"/>
          <w:color w:val="auto"/>
        </w:rPr>
        <w:t>誉赟企业管理合伙企业</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有限合伙</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(chop)</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Aiping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Aiping Yang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Douyu Investment Limited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Jie Gao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Jie Gao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True Thrive Limited</w:t>
      </w:r>
    </w:p>
    <w:p>
      <w:pPr>
        <w:spacing w:after="0" w:line="3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誠盛有限公司</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Hao Chen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40" w:lineRule="exact"/>
        <w:rPr>
          <w:sz w:val="20"/>
          <w:szCs w:val="20"/>
          <w:color w:val="auto"/>
        </w:rPr>
      </w:pPr>
      <w:r>
        <w:rPr>
          <w:rFonts w:ascii="Times New Roman" w:cs="Times New Roman" w:eastAsia="Times New Roman" w:hAnsi="Times New Roman"/>
          <w:sz w:val="18"/>
          <w:szCs w:val="18"/>
          <w:b w:val="1"/>
          <w:bCs w:val="1"/>
          <w:color w:val="auto"/>
        </w:rPr>
        <w:t>Shenzhen Guojin Capital Management Co., Ltd. (</w:t>
      </w:r>
      <w:r>
        <w:rPr>
          <w:rFonts w:ascii="SimSun" w:cs="SimSun" w:eastAsia="SimSun" w:hAnsi="SimSun"/>
          <w:sz w:val="18"/>
          <w:szCs w:val="18"/>
          <w:color w:val="auto"/>
        </w:rPr>
        <w:t>深圳国金纵横投资管</w:t>
      </w:r>
      <w:r>
        <w:rPr>
          <w:rFonts w:ascii="SimSun" w:cs="SimSun" w:eastAsia="SimSun" w:hAnsi="SimSun"/>
          <w:sz w:val="18"/>
          <w:szCs w:val="18"/>
          <w:color w:val="auto"/>
          <w:highlight w:val="black"/>
        </w:rPr>
        <w:t>理有限公司</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general partner for and on behalf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Shenzhen Guojin Angel III Venture Capital Enterprise (Limited</w:t>
      </w:r>
    </w:p>
    <w:p>
      <w:pPr>
        <w:spacing w:after="0" w:line="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Partnership) (</w:t>
      </w:r>
      <w:r>
        <w:rPr>
          <w:rFonts w:ascii="SimSun" w:cs="SimSun" w:eastAsia="SimSun" w:hAnsi="SimSun"/>
          <w:sz w:val="18"/>
          <w:szCs w:val="18"/>
          <w:color w:val="auto"/>
        </w:rPr>
        <w:t>深圳国金天使三期创业投资企业</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有限合伙</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(chop)</w:t>
      </w:r>
    </w:p>
    <w:p>
      <w:pPr>
        <w:spacing w:after="0" w:line="22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Jiaxi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313753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Jiaxi Lin</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spacing w:after="0" w:line="240" w:lineRule="exact"/>
        <w:rPr>
          <w:sz w:val="20"/>
          <w:szCs w:val="20"/>
          <w:color w:val="auto"/>
        </w:rPr>
      </w:pPr>
      <w:r>
        <w:rPr>
          <w:rFonts w:ascii="Times New Roman" w:cs="Times New Roman" w:eastAsia="Times New Roman" w:hAnsi="Times New Roman"/>
          <w:sz w:val="18"/>
          <w:szCs w:val="18"/>
          <w:b w:val="1"/>
          <w:bCs w:val="1"/>
          <w:color w:val="auto"/>
        </w:rPr>
        <w:t>Wuhan Rongzhu Information Technology Service Co., Ltd (</w:t>
      </w:r>
      <w:r>
        <w:rPr>
          <w:rFonts w:ascii="SimSun" w:cs="SimSun" w:eastAsia="SimSun" w:hAnsi="SimSun"/>
          <w:sz w:val="18"/>
          <w:szCs w:val="18"/>
          <w:color w:val="auto"/>
          <w:highlight w:val="black"/>
        </w:rPr>
        <w:t>武汉荣烛信息技术服务有限公司</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(chop)</w:t>
      </w:r>
    </w:p>
    <w:p>
      <w:pPr>
        <w:spacing w:after="0" w:line="2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Wanrong 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313753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Wanrong Xiao</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right="80"/>
        <w:spacing w:after="0" w:line="237" w:lineRule="exact"/>
        <w:rPr>
          <w:sz w:val="20"/>
          <w:szCs w:val="20"/>
          <w:color w:val="auto"/>
        </w:rPr>
      </w:pPr>
      <w:r>
        <w:rPr>
          <w:rFonts w:ascii="Times New Roman" w:cs="Times New Roman" w:eastAsia="Times New Roman" w:hAnsi="Times New Roman"/>
          <w:sz w:val="18"/>
          <w:szCs w:val="18"/>
          <w:b w:val="1"/>
          <w:bCs w:val="1"/>
          <w:color w:val="auto"/>
        </w:rPr>
        <w:t>Ningbo Meishan Bonded Port Area Daka Lianmeng Investment Management Partnership (Limited Partnership) (</w:t>
      </w:r>
      <w:r>
        <w:rPr>
          <w:rFonts w:ascii="SimSun" w:cs="SimSun" w:eastAsia="SimSun" w:hAnsi="SimSun"/>
          <w:sz w:val="18"/>
          <w:szCs w:val="18"/>
          <w:color w:val="auto"/>
        </w:rPr>
        <w:t>宁波梅山保税港区大咖联盟投资管理有限公司</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general partner for and on behalf of</w:t>
      </w:r>
    </w:p>
    <w:p>
      <w:pPr>
        <w:spacing w:after="0" w:line="23" w:lineRule="exact"/>
        <w:rPr>
          <w:sz w:val="20"/>
          <w:szCs w:val="20"/>
          <w:color w:val="auto"/>
        </w:rPr>
      </w:pPr>
    </w:p>
    <w:p>
      <w:pPr>
        <w:ind w:right="400"/>
        <w:spacing w:after="0" w:line="223" w:lineRule="exact"/>
        <w:rPr>
          <w:sz w:val="20"/>
          <w:szCs w:val="20"/>
          <w:color w:val="auto"/>
        </w:rPr>
      </w:pPr>
      <w:r>
        <w:rPr>
          <w:rFonts w:ascii="Times New Roman" w:cs="Times New Roman" w:eastAsia="Times New Roman" w:hAnsi="Times New Roman"/>
          <w:sz w:val="18"/>
          <w:szCs w:val="18"/>
          <w:b w:val="1"/>
          <w:bCs w:val="1"/>
          <w:color w:val="auto"/>
        </w:rPr>
        <w:t>Shanghai Chuyuan Enterprise Management Partnership (Limited Partnership) (</w:t>
      </w:r>
      <w:r>
        <w:rPr>
          <w:rFonts w:ascii="SimSun" w:cs="SimSun" w:eastAsia="SimSun" w:hAnsi="SimSun"/>
          <w:sz w:val="18"/>
          <w:szCs w:val="18"/>
          <w:color w:val="auto"/>
        </w:rPr>
        <w:t>上海矗源企业管理合伙企业</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有限合伙</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(chop)</w:t>
      </w:r>
    </w:p>
    <w:p>
      <w:pPr>
        <w:spacing w:after="0" w:line="21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313753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Hao Liu</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2">
            <w:col w:w="5520" w:space="220"/>
            <w:col w:w="5480"/>
          </w:cols>
          <w:pgMar w:left="320" w:top="900" w:right="359" w:bottom="1440" w:gutter="0" w:footer="0" w:header="0"/>
          <w:type w:val="continuous"/>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b w:val="1"/>
          <w:bCs w:val="1"/>
          <w:color w:val="auto"/>
        </w:rPr>
        <w:t>Jiaxing ZhenFund Tianhan Investment Management Partnership (Limited Partnership) (</w:t>
      </w:r>
      <w:r>
        <w:rPr>
          <w:rFonts w:ascii="SimSun" w:cs="SimSun" w:eastAsia="SimSun" w:hAnsi="SimSun"/>
          <w:sz w:val="18"/>
          <w:szCs w:val="18"/>
          <w:color w:val="auto"/>
        </w:rPr>
        <w:t>嘉兴真格天瀚投资管理合伙企业</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有限合伙</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as general partner for and on behalf of</w:t>
      </w:r>
    </w:p>
    <w:p>
      <w:pPr>
        <w:spacing w:after="0" w:line="1"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b w:val="1"/>
          <w:bCs w:val="1"/>
          <w:color w:val="auto"/>
        </w:rPr>
        <w:t>Jiaxing ZhenFund Tianyu Equity Investment Partnership (Limited Partnership) (</w:t>
      </w:r>
      <w:r>
        <w:rPr>
          <w:rFonts w:ascii="SimSun" w:cs="SimSun" w:eastAsia="SimSun" w:hAnsi="SimSun"/>
          <w:sz w:val="17"/>
          <w:szCs w:val="17"/>
          <w:color w:val="auto"/>
        </w:rPr>
        <w:t>嘉兴真格天域股权投资合伙企业</w:t>
      </w:r>
      <w:r>
        <w:rPr>
          <w:rFonts w:ascii="Times New Roman" w:cs="Times New Roman" w:eastAsia="Times New Roman" w:hAnsi="Times New Roman"/>
          <w:sz w:val="17"/>
          <w:szCs w:val="17"/>
          <w:b w:val="1"/>
          <w:bCs w:val="1"/>
          <w:color w:val="auto"/>
        </w:rPr>
        <w:t>(</w:t>
      </w:r>
      <w:r>
        <w:rPr>
          <w:rFonts w:ascii="SimSun" w:cs="SimSun" w:eastAsia="SimSun" w:hAnsi="SimSun"/>
          <w:sz w:val="17"/>
          <w:szCs w:val="17"/>
          <w:color w:val="auto"/>
          <w:highlight w:val="black"/>
        </w:rPr>
        <w:t>有限合伙</w:t>
      </w:r>
      <w:r>
        <w:rPr>
          <w:rFonts w:ascii="Times New Roman" w:cs="Times New Roman" w:eastAsia="Times New Roman" w:hAnsi="Times New Roman"/>
          <w:sz w:val="17"/>
          <w:szCs w:val="17"/>
          <w:b w:val="1"/>
          <w:bCs w:val="1"/>
          <w:color w:val="auto"/>
          <w:highlight w:val="black"/>
        </w:rPr>
        <w:t>)</w:t>
      </w:r>
      <w:r>
        <w:rPr>
          <w:rFonts w:ascii="Times New Roman" w:cs="Times New Roman" w:eastAsia="Times New Roman" w:hAnsi="Times New Roman"/>
          <w:sz w:val="17"/>
          <w:szCs w:val="17"/>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b w:val="1"/>
          <w:bCs w:val="1"/>
          <w:color w:val="auto"/>
        </w:rPr>
        <w:t>Jiangxi Everbright Industry Co., Ltd. (</w:t>
      </w:r>
      <w:r>
        <w:rPr>
          <w:rFonts w:ascii="SimSun" w:cs="SimSun" w:eastAsia="SimSun" w:hAnsi="SimSun"/>
          <w:sz w:val="17"/>
          <w:szCs w:val="17"/>
          <w:color w:val="auto"/>
          <w:highlight w:val="black"/>
        </w:rPr>
        <w:t>江西日月明实业有限公司</w:t>
      </w:r>
      <w:r>
        <w:rPr>
          <w:rFonts w:ascii="Times New Roman" w:cs="Times New Roman" w:eastAsia="Times New Roman" w:hAnsi="Times New Roman"/>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chop)</w:t>
      </w:r>
    </w:p>
    <w:p>
      <w:pPr>
        <w:spacing w:after="0" w:line="1090" w:lineRule="exact"/>
        <w:rPr>
          <w:sz w:val="20"/>
          <w:szCs w:val="20"/>
          <w:color w:val="auto"/>
        </w:rPr>
      </w:pPr>
    </w:p>
    <w:p>
      <w:pPr>
        <w:sectPr>
          <w:pgSz w:w="11900" w:h="16838" w:orient="portrait"/>
          <w:cols w:equalWidth="0" w:num="2">
            <w:col w:w="5160" w:space="580"/>
            <w:col w:w="5500"/>
          </w:cols>
          <w:pgMar w:left="320" w:top="900" w:right="3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Dai Yusen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Jie Tao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Dai Yusen</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Jie Tao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46"/>
        </w:trPr>
        <w:tc>
          <w:tcPr>
            <w:tcW w:w="552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Top Lead Ventures Limited (</w:t>
            </w:r>
            <w:r>
              <w:rPr>
                <w:rFonts w:ascii="SimSun" w:cs="SimSun" w:eastAsia="SimSun" w:hAnsi="SimSun"/>
                <w:sz w:val="18"/>
                <w:szCs w:val="18"/>
                <w:color w:val="auto"/>
                <w:highlight w:val="black"/>
              </w:rPr>
              <w:t>先領創投有限公司</w:t>
            </w:r>
            <w:r>
              <w:rPr>
                <w:rFonts w:ascii="Times New Roman" w:cs="Times New Roman" w:eastAsia="Times New Roman" w:hAnsi="Times New Roman"/>
                <w:sz w:val="18"/>
                <w:szCs w:val="18"/>
                <w:b w:val="1"/>
                <w:bCs w:val="1"/>
                <w:color w:val="auto"/>
              </w:rPr>
              <w:t>)</w:t>
            </w:r>
          </w:p>
        </w:tc>
        <w:tc>
          <w:tcPr>
            <w:tcW w:w="5720" w:type="dxa"/>
            <w:vAlign w:val="bottom"/>
            <w:gridSpan w:val="2"/>
          </w:tcPr>
          <w:p>
            <w:pPr>
              <w:ind w:left="220"/>
              <w:spacing w:after="0" w:line="219" w:lineRule="exact"/>
              <w:rPr>
                <w:sz w:val="20"/>
                <w:szCs w:val="20"/>
                <w:color w:val="auto"/>
              </w:rPr>
            </w:pPr>
            <w:r>
              <w:rPr>
                <w:rFonts w:ascii="Times New Roman" w:cs="Times New Roman" w:eastAsia="Times New Roman" w:hAnsi="Times New Roman"/>
                <w:sz w:val="18"/>
                <w:szCs w:val="18"/>
                <w:b w:val="1"/>
                <w:bCs w:val="1"/>
                <w:color w:val="auto"/>
              </w:rPr>
              <w:t>Shenzhen Media Group (International) Limited (</w:t>
            </w:r>
            <w:r>
              <w:rPr>
                <w:rFonts w:ascii="SimSun" w:cs="SimSun" w:eastAsia="SimSun" w:hAnsi="SimSun"/>
                <w:sz w:val="18"/>
                <w:szCs w:val="18"/>
                <w:color w:val="auto"/>
              </w:rPr>
              <w:t>深圳廣播電影電視集</w:t>
            </w:r>
          </w:p>
        </w:tc>
      </w:tr>
      <w:tr>
        <w:trPr>
          <w:trHeight w:val="243"/>
        </w:trPr>
        <w:tc>
          <w:tcPr>
            <w:tcW w:w="5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720" w:type="dxa"/>
            <w:vAlign w:val="bottom"/>
            <w:gridSpan w:val="2"/>
          </w:tcPr>
          <w:p>
            <w:pPr>
              <w:ind w:left="220"/>
              <w:spacing w:after="0" w:line="219" w:lineRule="exact"/>
              <w:rPr>
                <w:sz w:val="20"/>
                <w:szCs w:val="20"/>
                <w:color w:val="auto"/>
              </w:rPr>
            </w:pPr>
            <w:r>
              <w:rPr>
                <w:rFonts w:ascii="SimSun" w:cs="SimSun" w:eastAsia="SimSun" w:hAnsi="SimSun"/>
                <w:sz w:val="18"/>
                <w:szCs w:val="18"/>
                <w:color w:val="auto"/>
                <w:highlight w:val="black"/>
              </w:rPr>
              <w:t>團</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國際</w:t>
            </w:r>
            <w:r>
              <w:rPr>
                <w:rFonts w:ascii="Times New Roman" w:cs="Times New Roman" w:eastAsia="Times New Roman" w:hAnsi="Times New Roman"/>
                <w:sz w:val="18"/>
                <w:szCs w:val="18"/>
                <w:b w:val="1"/>
                <w:bCs w:val="1"/>
                <w:color w:val="auto"/>
                <w:highlight w:val="black"/>
              </w:rPr>
              <w:t>)</w:t>
            </w:r>
            <w:r>
              <w:rPr>
                <w:rFonts w:ascii="SimSun" w:cs="SimSun" w:eastAsia="SimSun" w:hAnsi="SimSun"/>
                <w:sz w:val="18"/>
                <w:szCs w:val="18"/>
                <w:color w:val="auto"/>
                <w:highlight w:val="black"/>
              </w:rPr>
              <w:t>有限公司</w:t>
            </w:r>
            <w:r>
              <w:rPr>
                <w:rFonts w:ascii="Times New Roman" w:cs="Times New Roman" w:eastAsia="Times New Roman" w:hAnsi="Times New Roman"/>
                <w:sz w:val="18"/>
                <w:szCs w:val="18"/>
                <w:b w:val="1"/>
                <w:bCs w:val="1"/>
                <w:color w:val="auto"/>
              </w:rPr>
              <w:t>)</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Zeyuan Tian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Qiang Wang</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Zeyuan Tian</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Qiang Wang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 Asia Investment, LLLP</w:t>
            </w:r>
          </w:p>
        </w:tc>
        <w:tc>
          <w:tcPr>
            <w:tcW w:w="5720" w:type="dxa"/>
            <w:vAlign w:val="bottom"/>
            <w:gridSpan w:val="2"/>
          </w:tcPr>
          <w:p>
            <w:pPr>
              <w:ind w:left="220"/>
              <w:spacing w:after="0" w:line="219" w:lineRule="exact"/>
              <w:rPr>
                <w:sz w:val="20"/>
                <w:szCs w:val="20"/>
                <w:color w:val="auto"/>
              </w:rPr>
            </w:pPr>
            <w:r>
              <w:rPr>
                <w:rFonts w:ascii="Times New Roman" w:cs="Times New Roman" w:eastAsia="Times New Roman" w:hAnsi="Times New Roman"/>
                <w:sz w:val="18"/>
                <w:szCs w:val="18"/>
                <w:b w:val="1"/>
                <w:bCs w:val="1"/>
                <w:color w:val="auto"/>
              </w:rPr>
              <w:t>Blooming Time International Limited (</w:t>
            </w:r>
            <w:r>
              <w:rPr>
                <w:rFonts w:ascii="SimSun" w:cs="SimSun" w:eastAsia="SimSun" w:hAnsi="SimSun"/>
                <w:sz w:val="18"/>
                <w:szCs w:val="18"/>
                <w:color w:val="auto"/>
              </w:rPr>
              <w:t>時盛國際有限公司</w:t>
            </w:r>
            <w:r>
              <w:rPr>
                <w:rFonts w:ascii="Times New Roman" w:cs="Times New Roman" w:eastAsia="Times New Roman" w:hAnsi="Times New Roman"/>
                <w:sz w:val="18"/>
                <w:szCs w:val="18"/>
                <w:b w:val="1"/>
                <w:bCs w:val="1"/>
                <w:color w:val="auto"/>
              </w:rPr>
              <w:t>)</w:t>
            </w: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as general partner for and on behalf of</w:t>
            </w:r>
          </w:p>
        </w:tc>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 China Investments Master Fund IV, LLLP</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 Spolan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LING, CARLOS FILIPE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Spolan</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LING, CARLOS FILIPE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of Heights Capital Management, Inc. as authorized</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agent of SIG Asia Investment, LLLP</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WD.,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Xuejun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Xuejun Li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Maison Investment Holding Limited (</w:t>
      </w:r>
      <w:r>
        <w:rPr>
          <w:rFonts w:ascii="SimSun" w:cs="SimSun" w:eastAsia="SimSun" w:hAnsi="SimSun"/>
          <w:sz w:val="18"/>
          <w:szCs w:val="18"/>
          <w:color w:val="auto"/>
        </w:rPr>
        <w:t>美盛股權投資有限公司</w:t>
      </w:r>
      <w:r>
        <w:rPr>
          <w:rFonts w:ascii="Times New Roman" w:cs="Times New Roman" w:eastAsia="Times New Roman" w:hAnsi="Times New Roman"/>
          <w:sz w:val="18"/>
          <w:szCs w:val="18"/>
          <w:b w:val="1"/>
          <w:bCs w:val="1"/>
          <w:color w:val="auto"/>
        </w:rPr>
        <w:t>)</w:t>
      </w:r>
    </w:p>
    <w:p>
      <w:pPr>
        <w:spacing w:after="0" w:line="2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Qiang Xue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Qiang Xue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1457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 Capital SPC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Qiang Xue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Qiang Xue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Danny Yu Holdings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Oscar Gu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Haoming Yu</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Ronghua Gu</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Haoming Yu</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Ronghua Gu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executed and delivered this Agreement on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Hicham Chahine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Jonas Gundersen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Hicham Chahine</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Gundersen</w:t>
            </w:r>
          </w:p>
        </w:tc>
      </w:tr>
      <w:tr>
        <w:trPr>
          <w:trHeight w:val="42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Diglife AS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Datakrigaren Ventures ApS</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Hicham Chahine</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Gundersen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Hicham Chahine</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Jonas Gundersen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Tolsona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Nyx Ventures AS</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Costas Hadsihichalakis, Orestis Livadas</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Neslein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Costas Hadsihichalakis, Orestis Livadas</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Neslein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Get Right Sweden AB</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Shinobi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 Alesund</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 Cosheril, Andrew Lawrence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Hans Alesund</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Nicola Cosheril, Andrew Lawrence for and on behalf of Whitfield</w:t>
            </w: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Limited as director of Shinobi Holdings Limited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3" w:name="page474"/>
    <w:bookmarkEnd w:id="4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2314575" cy="86550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clrChange>
                        <a:clrFrom>
                          <a:srgbClr val="FFFFFF"/>
                        </a:clrFrom>
                        <a:clrTo>
                          <a:srgbClr val="FFFFFF">
                            <a:alpha val="0"/>
                          </a:srgbClr>
                        </a:clrTo>
                      </a:clrChange>
                      <a:extLst>
                        <a:ext uri="{28A0092B-C50C-407E-A947-70E740481C1C}"/>
                      </a:extLst>
                    </a:blip>
                    <a:srcRect/>
                    <a:stretch>
                      <a:fillRect/>
                    </a:stretch>
                  </pic:blipFill>
                  <pic:spPr bwMode="auto">
                    <a:xfrm>
                      <a:off x="0" y="0"/>
                      <a:ext cx="231457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Asia Pacific</w:t>
      </w:r>
    </w:p>
    <w:p>
      <w:pPr>
        <w:spacing w:after="0" w:line="219" w:lineRule="auto"/>
        <w:rPr>
          <w:sz w:val="20"/>
          <w:szCs w:val="20"/>
          <w:color w:val="auto"/>
        </w:rPr>
      </w:pPr>
      <w:r>
        <w:rPr>
          <w:rFonts w:ascii="Times New Roman" w:cs="Times New Roman" w:eastAsia="Times New Roman" w:hAnsi="Times New Roman"/>
          <w:sz w:val="13"/>
          <w:szCs w:val="13"/>
          <w:color w:val="auto"/>
        </w:rPr>
        <w:t>Bangkok</w:t>
      </w:r>
    </w:p>
    <w:p>
      <w:pPr>
        <w:spacing w:after="0" w:line="216" w:lineRule="auto"/>
        <w:rPr>
          <w:sz w:val="20"/>
          <w:szCs w:val="20"/>
          <w:color w:val="auto"/>
        </w:rPr>
      </w:pPr>
      <w:r>
        <w:rPr>
          <w:rFonts w:ascii="Times New Roman" w:cs="Times New Roman" w:eastAsia="Times New Roman" w:hAnsi="Times New Roman"/>
          <w:sz w:val="13"/>
          <w:szCs w:val="13"/>
          <w:color w:val="auto"/>
        </w:rPr>
        <w:t>Beijing</w:t>
      </w:r>
    </w:p>
    <w:p>
      <w:pPr>
        <w:spacing w:after="0" w:line="217" w:lineRule="auto"/>
        <w:rPr>
          <w:sz w:val="20"/>
          <w:szCs w:val="20"/>
          <w:color w:val="auto"/>
        </w:rPr>
      </w:pPr>
      <w:r>
        <w:rPr>
          <w:rFonts w:ascii="Times New Roman" w:cs="Times New Roman" w:eastAsia="Times New Roman" w:hAnsi="Times New Roman"/>
          <w:sz w:val="13"/>
          <w:szCs w:val="13"/>
          <w:color w:val="auto"/>
        </w:rPr>
        <w:t>Brisbane</w:t>
      </w:r>
    </w:p>
    <w:p>
      <w:pPr>
        <w:spacing w:after="0" w:line="217" w:lineRule="auto"/>
        <w:rPr>
          <w:sz w:val="20"/>
          <w:szCs w:val="20"/>
          <w:color w:val="auto"/>
        </w:rPr>
      </w:pPr>
      <w:r>
        <w:rPr>
          <w:rFonts w:ascii="Times New Roman" w:cs="Times New Roman" w:eastAsia="Times New Roman" w:hAnsi="Times New Roman"/>
          <w:sz w:val="13"/>
          <w:szCs w:val="13"/>
          <w:color w:val="auto"/>
        </w:rPr>
        <w:t>Hanoi</w:t>
      </w:r>
    </w:p>
    <w:p>
      <w:pPr>
        <w:spacing w:after="0" w:line="217" w:lineRule="auto"/>
        <w:rPr>
          <w:sz w:val="20"/>
          <w:szCs w:val="20"/>
          <w:color w:val="auto"/>
        </w:rPr>
      </w:pPr>
      <w:r>
        <w:rPr>
          <w:rFonts w:ascii="Times New Roman" w:cs="Times New Roman" w:eastAsia="Times New Roman" w:hAnsi="Times New Roman"/>
          <w:sz w:val="13"/>
          <w:szCs w:val="13"/>
          <w:color w:val="auto"/>
        </w:rPr>
        <w:t>Ho Chi Minh City</w:t>
      </w:r>
    </w:p>
    <w:p>
      <w:pPr>
        <w:spacing w:after="0" w:line="216" w:lineRule="auto"/>
        <w:rPr>
          <w:sz w:val="20"/>
          <w:szCs w:val="20"/>
          <w:color w:val="auto"/>
        </w:rPr>
      </w:pPr>
      <w:r>
        <w:rPr>
          <w:rFonts w:ascii="Times New Roman" w:cs="Times New Roman" w:eastAsia="Times New Roman" w:hAnsi="Times New Roman"/>
          <w:sz w:val="13"/>
          <w:szCs w:val="13"/>
          <w:color w:val="auto"/>
        </w:rPr>
        <w:t>Hong Kong</w:t>
      </w:r>
    </w:p>
    <w:p>
      <w:pPr>
        <w:spacing w:after="0" w:line="217" w:lineRule="auto"/>
        <w:rPr>
          <w:sz w:val="20"/>
          <w:szCs w:val="20"/>
          <w:color w:val="auto"/>
        </w:rPr>
      </w:pPr>
      <w:r>
        <w:rPr>
          <w:rFonts w:ascii="Times New Roman" w:cs="Times New Roman" w:eastAsia="Times New Roman" w:hAnsi="Times New Roman"/>
          <w:sz w:val="13"/>
          <w:szCs w:val="13"/>
          <w:color w:val="auto"/>
        </w:rPr>
        <w:t>Jakarta</w:t>
      </w:r>
    </w:p>
    <w:p>
      <w:pPr>
        <w:spacing w:after="0" w:line="217" w:lineRule="auto"/>
        <w:rPr>
          <w:sz w:val="20"/>
          <w:szCs w:val="20"/>
          <w:color w:val="auto"/>
        </w:rPr>
      </w:pPr>
      <w:r>
        <w:rPr>
          <w:rFonts w:ascii="Times New Roman" w:cs="Times New Roman" w:eastAsia="Times New Roman" w:hAnsi="Times New Roman"/>
          <w:sz w:val="13"/>
          <w:szCs w:val="13"/>
          <w:color w:val="auto"/>
        </w:rPr>
        <w:t>Kuala Lumpur*</w:t>
      </w:r>
    </w:p>
    <w:p>
      <w:pPr>
        <w:spacing w:after="0" w:line="217" w:lineRule="auto"/>
        <w:rPr>
          <w:sz w:val="20"/>
          <w:szCs w:val="20"/>
          <w:color w:val="auto"/>
        </w:rPr>
      </w:pPr>
      <w:r>
        <w:rPr>
          <w:rFonts w:ascii="Times New Roman" w:cs="Times New Roman" w:eastAsia="Times New Roman" w:hAnsi="Times New Roman"/>
          <w:sz w:val="13"/>
          <w:szCs w:val="13"/>
          <w:color w:val="auto"/>
        </w:rPr>
        <w:t>Manila*</w:t>
      </w:r>
    </w:p>
    <w:p>
      <w:pPr>
        <w:spacing w:after="0" w:line="216" w:lineRule="auto"/>
        <w:rPr>
          <w:sz w:val="20"/>
          <w:szCs w:val="20"/>
          <w:color w:val="auto"/>
        </w:rPr>
      </w:pPr>
      <w:r>
        <w:rPr>
          <w:rFonts w:ascii="Times New Roman" w:cs="Times New Roman" w:eastAsia="Times New Roman" w:hAnsi="Times New Roman"/>
          <w:sz w:val="13"/>
          <w:szCs w:val="13"/>
          <w:color w:val="auto"/>
        </w:rPr>
        <w:t>Melbourne</w:t>
      </w:r>
    </w:p>
    <w:p>
      <w:pPr>
        <w:spacing w:after="0" w:line="217" w:lineRule="auto"/>
        <w:rPr>
          <w:sz w:val="20"/>
          <w:szCs w:val="20"/>
          <w:color w:val="auto"/>
        </w:rPr>
      </w:pPr>
      <w:r>
        <w:rPr>
          <w:rFonts w:ascii="Times New Roman" w:cs="Times New Roman" w:eastAsia="Times New Roman" w:hAnsi="Times New Roman"/>
          <w:sz w:val="13"/>
          <w:szCs w:val="13"/>
          <w:color w:val="auto"/>
        </w:rPr>
        <w:t>Seoul</w:t>
      </w:r>
    </w:p>
    <w:p>
      <w:pPr>
        <w:spacing w:after="0" w:line="217" w:lineRule="auto"/>
        <w:rPr>
          <w:sz w:val="20"/>
          <w:szCs w:val="20"/>
          <w:color w:val="auto"/>
        </w:rPr>
      </w:pPr>
      <w:r>
        <w:rPr>
          <w:rFonts w:ascii="Times New Roman" w:cs="Times New Roman" w:eastAsia="Times New Roman" w:hAnsi="Times New Roman"/>
          <w:sz w:val="13"/>
          <w:szCs w:val="13"/>
          <w:color w:val="auto"/>
        </w:rPr>
        <w:t>Shanghai</w:t>
      </w:r>
    </w:p>
    <w:p>
      <w:pPr>
        <w:spacing w:after="0" w:line="217" w:lineRule="auto"/>
        <w:rPr>
          <w:sz w:val="20"/>
          <w:szCs w:val="20"/>
          <w:color w:val="auto"/>
        </w:rPr>
      </w:pPr>
      <w:r>
        <w:rPr>
          <w:rFonts w:ascii="Times New Roman" w:cs="Times New Roman" w:eastAsia="Times New Roman" w:hAnsi="Times New Roman"/>
          <w:sz w:val="13"/>
          <w:szCs w:val="13"/>
          <w:color w:val="auto"/>
        </w:rPr>
        <w:t>Singapore</w:t>
      </w:r>
    </w:p>
    <w:p>
      <w:pPr>
        <w:spacing w:after="0" w:line="216" w:lineRule="auto"/>
        <w:rPr>
          <w:sz w:val="20"/>
          <w:szCs w:val="20"/>
          <w:color w:val="auto"/>
        </w:rPr>
      </w:pPr>
      <w:r>
        <w:rPr>
          <w:rFonts w:ascii="Times New Roman" w:cs="Times New Roman" w:eastAsia="Times New Roman" w:hAnsi="Times New Roman"/>
          <w:sz w:val="13"/>
          <w:szCs w:val="13"/>
          <w:color w:val="auto"/>
        </w:rPr>
        <w:t>Sydney</w:t>
      </w:r>
    </w:p>
    <w:p>
      <w:pPr>
        <w:spacing w:after="0" w:line="217" w:lineRule="auto"/>
        <w:rPr>
          <w:sz w:val="20"/>
          <w:szCs w:val="20"/>
          <w:color w:val="auto"/>
        </w:rPr>
      </w:pPr>
      <w:r>
        <w:rPr>
          <w:rFonts w:ascii="Times New Roman" w:cs="Times New Roman" w:eastAsia="Times New Roman" w:hAnsi="Times New Roman"/>
          <w:sz w:val="13"/>
          <w:szCs w:val="13"/>
          <w:color w:val="auto"/>
        </w:rPr>
        <w:t>Taipei</w:t>
      </w:r>
    </w:p>
    <w:p>
      <w:pPr>
        <w:spacing w:after="0" w:line="217" w:lineRule="auto"/>
        <w:rPr>
          <w:sz w:val="20"/>
          <w:szCs w:val="20"/>
          <w:color w:val="auto"/>
        </w:rPr>
      </w:pPr>
      <w:r>
        <w:rPr>
          <w:rFonts w:ascii="Times New Roman" w:cs="Times New Roman" w:eastAsia="Times New Roman" w:hAnsi="Times New Roman"/>
          <w:sz w:val="13"/>
          <w:szCs w:val="13"/>
          <w:color w:val="auto"/>
        </w:rPr>
        <w:t>Tokyo</w:t>
      </w:r>
    </w:p>
    <w:p>
      <w:pPr>
        <w:spacing w:after="0"/>
        <w:rPr>
          <w:sz w:val="20"/>
          <w:szCs w:val="20"/>
          <w:color w:val="auto"/>
        </w:rPr>
      </w:pPr>
      <w:r>
        <w:rPr>
          <w:rFonts w:ascii="Times New Roman" w:cs="Times New Roman" w:eastAsia="Times New Roman" w:hAnsi="Times New Roman"/>
          <w:sz w:val="13"/>
          <w:szCs w:val="13"/>
          <w:color w:val="auto"/>
        </w:rPr>
        <w:t>Yangon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Europe, Middle East</w:t>
      </w:r>
    </w:p>
    <w:p>
      <w:pPr>
        <w:spacing w:after="0" w:line="2" w:lineRule="exact"/>
        <w:rPr>
          <w:sz w:val="20"/>
          <w:szCs w:val="20"/>
          <w:color w:val="auto"/>
        </w:rPr>
      </w:pPr>
    </w:p>
    <w:p>
      <w:pPr>
        <w:ind w:right="2320" w:firstLine="8"/>
        <w:spacing w:after="0" w:line="290" w:lineRule="auto"/>
        <w:tabs>
          <w:tab w:leader="none" w:pos="136" w:val="left"/>
        </w:tabs>
        <w:numPr>
          <w:ilvl w:val="0"/>
          <w:numId w:val="4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Africa </w:t>
      </w:r>
      <w:r>
        <w:rPr>
          <w:rFonts w:ascii="Times New Roman" w:cs="Times New Roman" w:eastAsia="Times New Roman" w:hAnsi="Times New Roman"/>
          <w:sz w:val="12"/>
          <w:szCs w:val="12"/>
          <w:color w:val="auto"/>
        </w:rPr>
        <w:t>Abu Dhabi Almaty Amsterdam Antwerp Bahrain Barcelona Berlin Brussels Budapest Cairo Casablanca Doha Dubai Dusseldorf Frankfurt/Main Geneva Istanbul Jeddah* Johannesburg Kyiv London Luxembourg Madrid Milan Munich Paris</w:t>
      </w:r>
    </w:p>
    <w:p>
      <w:pPr>
        <w:spacing w:after="0" w:line="310" w:lineRule="exact"/>
        <w:rPr>
          <w:rFonts w:ascii="Times New Roman" w:cs="Times New Roman" w:eastAsia="Times New Roman" w:hAnsi="Times New Roman"/>
          <w:sz w:val="12"/>
          <w:szCs w:val="12"/>
          <w:b w:val="1"/>
          <w:bCs w:val="1"/>
          <w:color w:val="auto"/>
        </w:rPr>
      </w:pPr>
    </w:p>
    <w:p>
      <w:pPr>
        <w:ind w:right="2540"/>
        <w:spacing w:after="0" w:line="23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Prague Riyadh* Rome Stockholm Vienna Warsaw Zurich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Americas</w:t>
      </w:r>
    </w:p>
    <w:p>
      <w:pPr>
        <w:spacing w:after="0" w:line="219" w:lineRule="auto"/>
        <w:rPr>
          <w:sz w:val="20"/>
          <w:szCs w:val="20"/>
          <w:color w:val="auto"/>
        </w:rPr>
      </w:pPr>
      <w:r>
        <w:rPr>
          <w:rFonts w:ascii="Times New Roman" w:cs="Times New Roman" w:eastAsia="Times New Roman" w:hAnsi="Times New Roman"/>
          <w:sz w:val="13"/>
          <w:szCs w:val="13"/>
          <w:color w:val="auto"/>
        </w:rPr>
        <w:t>Bogota</w:t>
      </w:r>
    </w:p>
    <w:p>
      <w:pPr>
        <w:spacing w:after="0" w:line="216" w:lineRule="auto"/>
        <w:rPr>
          <w:sz w:val="20"/>
          <w:szCs w:val="20"/>
          <w:color w:val="auto"/>
        </w:rPr>
      </w:pPr>
      <w:r>
        <w:rPr>
          <w:rFonts w:ascii="Times New Roman" w:cs="Times New Roman" w:eastAsia="Times New Roman" w:hAnsi="Times New Roman"/>
          <w:sz w:val="13"/>
          <w:szCs w:val="13"/>
          <w:color w:val="auto"/>
        </w:rPr>
        <w:t>Brasilia**</w:t>
      </w:r>
    </w:p>
    <w:p>
      <w:pPr>
        <w:spacing w:after="0" w:line="217" w:lineRule="auto"/>
        <w:rPr>
          <w:sz w:val="20"/>
          <w:szCs w:val="20"/>
          <w:color w:val="auto"/>
        </w:rPr>
      </w:pPr>
      <w:r>
        <w:rPr>
          <w:rFonts w:ascii="Times New Roman" w:cs="Times New Roman" w:eastAsia="Times New Roman" w:hAnsi="Times New Roman"/>
          <w:sz w:val="13"/>
          <w:szCs w:val="13"/>
          <w:color w:val="auto"/>
        </w:rPr>
        <w:t>Buenos Aires</w:t>
      </w:r>
    </w:p>
    <w:p>
      <w:pPr>
        <w:spacing w:after="0" w:line="217" w:lineRule="auto"/>
        <w:rPr>
          <w:sz w:val="20"/>
          <w:szCs w:val="20"/>
          <w:color w:val="auto"/>
        </w:rPr>
      </w:pPr>
      <w:r>
        <w:rPr>
          <w:rFonts w:ascii="Times New Roman" w:cs="Times New Roman" w:eastAsia="Times New Roman" w:hAnsi="Times New Roman"/>
          <w:sz w:val="13"/>
          <w:szCs w:val="13"/>
          <w:color w:val="auto"/>
        </w:rPr>
        <w:t>Caracas</w:t>
      </w:r>
    </w:p>
    <w:p>
      <w:pPr>
        <w:spacing w:after="0" w:line="217" w:lineRule="auto"/>
        <w:rPr>
          <w:sz w:val="20"/>
          <w:szCs w:val="20"/>
          <w:color w:val="auto"/>
        </w:rPr>
      </w:pPr>
      <w:r>
        <w:rPr>
          <w:rFonts w:ascii="Times New Roman" w:cs="Times New Roman" w:eastAsia="Times New Roman" w:hAnsi="Times New Roman"/>
          <w:sz w:val="13"/>
          <w:szCs w:val="13"/>
          <w:color w:val="auto"/>
        </w:rPr>
        <w:t>Chicago</w:t>
      </w:r>
    </w:p>
    <w:p>
      <w:pPr>
        <w:spacing w:after="0" w:line="216" w:lineRule="auto"/>
        <w:rPr>
          <w:sz w:val="20"/>
          <w:szCs w:val="20"/>
          <w:color w:val="auto"/>
        </w:rPr>
      </w:pPr>
      <w:r>
        <w:rPr>
          <w:rFonts w:ascii="Times New Roman" w:cs="Times New Roman" w:eastAsia="Times New Roman" w:hAnsi="Times New Roman"/>
          <w:sz w:val="13"/>
          <w:szCs w:val="13"/>
          <w:color w:val="auto"/>
        </w:rPr>
        <w:t>Dallas</w:t>
      </w:r>
    </w:p>
    <w:p>
      <w:pPr>
        <w:spacing w:after="0" w:line="217" w:lineRule="auto"/>
        <w:rPr>
          <w:sz w:val="20"/>
          <w:szCs w:val="20"/>
          <w:color w:val="auto"/>
        </w:rPr>
      </w:pPr>
      <w:r>
        <w:rPr>
          <w:rFonts w:ascii="Times New Roman" w:cs="Times New Roman" w:eastAsia="Times New Roman" w:hAnsi="Times New Roman"/>
          <w:sz w:val="13"/>
          <w:szCs w:val="13"/>
          <w:color w:val="auto"/>
        </w:rPr>
        <w:t>Guadalajara</w:t>
      </w:r>
    </w:p>
    <w:p>
      <w:pPr>
        <w:spacing w:after="0" w:line="217" w:lineRule="auto"/>
        <w:rPr>
          <w:sz w:val="20"/>
          <w:szCs w:val="20"/>
          <w:color w:val="auto"/>
        </w:rPr>
      </w:pPr>
      <w:r>
        <w:rPr>
          <w:rFonts w:ascii="Times New Roman" w:cs="Times New Roman" w:eastAsia="Times New Roman" w:hAnsi="Times New Roman"/>
          <w:sz w:val="13"/>
          <w:szCs w:val="13"/>
          <w:color w:val="auto"/>
        </w:rPr>
        <w:t>Houston</w:t>
      </w:r>
    </w:p>
    <w:p>
      <w:pPr>
        <w:spacing w:after="0" w:line="217" w:lineRule="auto"/>
        <w:rPr>
          <w:sz w:val="20"/>
          <w:szCs w:val="20"/>
          <w:color w:val="auto"/>
        </w:rPr>
      </w:pPr>
      <w:r>
        <w:rPr>
          <w:rFonts w:ascii="Times New Roman" w:cs="Times New Roman" w:eastAsia="Times New Roman" w:hAnsi="Times New Roman"/>
          <w:sz w:val="13"/>
          <w:szCs w:val="13"/>
          <w:color w:val="auto"/>
        </w:rPr>
        <w:t>Juarez</w:t>
      </w:r>
    </w:p>
    <w:p>
      <w:pPr>
        <w:spacing w:after="0" w:line="216" w:lineRule="auto"/>
        <w:rPr>
          <w:sz w:val="20"/>
          <w:szCs w:val="20"/>
          <w:color w:val="auto"/>
        </w:rPr>
      </w:pPr>
      <w:r>
        <w:rPr>
          <w:rFonts w:ascii="Times New Roman" w:cs="Times New Roman" w:eastAsia="Times New Roman" w:hAnsi="Times New Roman"/>
          <w:sz w:val="13"/>
          <w:szCs w:val="13"/>
          <w:color w:val="auto"/>
        </w:rPr>
        <w:t>Lima</w:t>
      </w:r>
    </w:p>
    <w:p>
      <w:pPr>
        <w:spacing w:after="0" w:line="217" w:lineRule="auto"/>
        <w:rPr>
          <w:sz w:val="20"/>
          <w:szCs w:val="20"/>
          <w:color w:val="auto"/>
        </w:rPr>
      </w:pPr>
      <w:r>
        <w:rPr>
          <w:rFonts w:ascii="Times New Roman" w:cs="Times New Roman" w:eastAsia="Times New Roman" w:hAnsi="Times New Roman"/>
          <w:sz w:val="13"/>
          <w:szCs w:val="13"/>
          <w:color w:val="auto"/>
        </w:rPr>
        <w:t>Los Angeles</w:t>
      </w:r>
    </w:p>
    <w:p>
      <w:pPr>
        <w:spacing w:after="0" w:line="217" w:lineRule="auto"/>
        <w:rPr>
          <w:sz w:val="20"/>
          <w:szCs w:val="20"/>
          <w:color w:val="auto"/>
        </w:rPr>
      </w:pPr>
      <w:r>
        <w:rPr>
          <w:rFonts w:ascii="Times New Roman" w:cs="Times New Roman" w:eastAsia="Times New Roman" w:hAnsi="Times New Roman"/>
          <w:sz w:val="13"/>
          <w:szCs w:val="13"/>
          <w:color w:val="auto"/>
        </w:rPr>
        <w:t>Mexico City</w:t>
      </w:r>
    </w:p>
    <w:p>
      <w:pPr>
        <w:spacing w:after="0" w:line="217" w:lineRule="auto"/>
        <w:rPr>
          <w:sz w:val="20"/>
          <w:szCs w:val="20"/>
          <w:color w:val="auto"/>
        </w:rPr>
      </w:pPr>
      <w:r>
        <w:rPr>
          <w:rFonts w:ascii="Times New Roman" w:cs="Times New Roman" w:eastAsia="Times New Roman" w:hAnsi="Times New Roman"/>
          <w:sz w:val="13"/>
          <w:szCs w:val="13"/>
          <w:color w:val="auto"/>
        </w:rPr>
        <w:t>Miami</w:t>
      </w:r>
    </w:p>
    <w:p>
      <w:pPr>
        <w:spacing w:after="0" w:line="216" w:lineRule="auto"/>
        <w:rPr>
          <w:sz w:val="20"/>
          <w:szCs w:val="20"/>
          <w:color w:val="auto"/>
        </w:rPr>
      </w:pPr>
      <w:r>
        <w:rPr>
          <w:rFonts w:ascii="Times New Roman" w:cs="Times New Roman" w:eastAsia="Times New Roman" w:hAnsi="Times New Roman"/>
          <w:sz w:val="13"/>
          <w:szCs w:val="13"/>
          <w:color w:val="auto"/>
        </w:rPr>
        <w:t>Monterrey</w:t>
      </w:r>
    </w:p>
    <w:p>
      <w:pPr>
        <w:spacing w:after="0" w:line="217" w:lineRule="auto"/>
        <w:rPr>
          <w:sz w:val="20"/>
          <w:szCs w:val="20"/>
          <w:color w:val="auto"/>
        </w:rPr>
      </w:pPr>
      <w:r>
        <w:rPr>
          <w:rFonts w:ascii="Times New Roman" w:cs="Times New Roman" w:eastAsia="Times New Roman" w:hAnsi="Times New Roman"/>
          <w:sz w:val="13"/>
          <w:szCs w:val="13"/>
          <w:color w:val="auto"/>
        </w:rPr>
        <w:t>New York</w:t>
      </w:r>
    </w:p>
    <w:p>
      <w:pPr>
        <w:spacing w:after="0" w:line="217" w:lineRule="auto"/>
        <w:rPr>
          <w:sz w:val="20"/>
          <w:szCs w:val="20"/>
          <w:color w:val="auto"/>
        </w:rPr>
      </w:pPr>
      <w:r>
        <w:rPr>
          <w:rFonts w:ascii="Times New Roman" w:cs="Times New Roman" w:eastAsia="Times New Roman" w:hAnsi="Times New Roman"/>
          <w:sz w:val="13"/>
          <w:szCs w:val="13"/>
          <w:color w:val="auto"/>
        </w:rPr>
        <w:t>Palo Alto</w:t>
      </w:r>
    </w:p>
    <w:p>
      <w:pPr>
        <w:spacing w:after="0" w:line="217" w:lineRule="auto"/>
        <w:rPr>
          <w:sz w:val="20"/>
          <w:szCs w:val="20"/>
          <w:color w:val="auto"/>
        </w:rPr>
      </w:pPr>
      <w:r>
        <w:rPr>
          <w:rFonts w:ascii="Times New Roman" w:cs="Times New Roman" w:eastAsia="Times New Roman" w:hAnsi="Times New Roman"/>
          <w:sz w:val="13"/>
          <w:szCs w:val="13"/>
          <w:color w:val="auto"/>
        </w:rPr>
        <w:t>Porto Alegre**</w:t>
      </w:r>
    </w:p>
    <w:p>
      <w:pPr>
        <w:spacing w:after="0" w:line="216" w:lineRule="auto"/>
        <w:rPr>
          <w:sz w:val="20"/>
          <w:szCs w:val="20"/>
          <w:color w:val="auto"/>
        </w:rPr>
      </w:pPr>
      <w:r>
        <w:rPr>
          <w:rFonts w:ascii="Times New Roman" w:cs="Times New Roman" w:eastAsia="Times New Roman" w:hAnsi="Times New Roman"/>
          <w:sz w:val="13"/>
          <w:szCs w:val="13"/>
          <w:color w:val="auto"/>
        </w:rPr>
        <w:t>Rio de Janeiro**</w:t>
      </w:r>
    </w:p>
    <w:p>
      <w:pPr>
        <w:spacing w:after="0" w:line="217" w:lineRule="auto"/>
        <w:rPr>
          <w:sz w:val="20"/>
          <w:szCs w:val="20"/>
          <w:color w:val="auto"/>
        </w:rPr>
      </w:pPr>
      <w:r>
        <w:rPr>
          <w:rFonts w:ascii="Times New Roman" w:cs="Times New Roman" w:eastAsia="Times New Roman" w:hAnsi="Times New Roman"/>
          <w:sz w:val="13"/>
          <w:szCs w:val="13"/>
          <w:color w:val="auto"/>
        </w:rPr>
        <w:t>San Francisco</w:t>
      </w:r>
    </w:p>
    <w:p>
      <w:pPr>
        <w:spacing w:after="0" w:line="217" w:lineRule="auto"/>
        <w:rPr>
          <w:sz w:val="20"/>
          <w:szCs w:val="20"/>
          <w:color w:val="auto"/>
        </w:rPr>
      </w:pPr>
      <w:r>
        <w:rPr>
          <w:rFonts w:ascii="Times New Roman" w:cs="Times New Roman" w:eastAsia="Times New Roman" w:hAnsi="Times New Roman"/>
          <w:sz w:val="13"/>
          <w:szCs w:val="13"/>
          <w:color w:val="auto"/>
        </w:rPr>
        <w:t>Santiago</w:t>
      </w:r>
    </w:p>
    <w:p>
      <w:pPr>
        <w:spacing w:after="0" w:line="217" w:lineRule="auto"/>
        <w:rPr>
          <w:sz w:val="20"/>
          <w:szCs w:val="20"/>
          <w:color w:val="auto"/>
        </w:rPr>
      </w:pPr>
      <w:r>
        <w:rPr>
          <w:rFonts w:ascii="Times New Roman" w:cs="Times New Roman" w:eastAsia="Times New Roman" w:hAnsi="Times New Roman"/>
          <w:sz w:val="13"/>
          <w:szCs w:val="13"/>
          <w:color w:val="auto"/>
        </w:rPr>
        <w:t>Sao Paulo**</w:t>
      </w:r>
    </w:p>
    <w:p>
      <w:pPr>
        <w:spacing w:after="0" w:line="216" w:lineRule="auto"/>
        <w:rPr>
          <w:sz w:val="20"/>
          <w:szCs w:val="20"/>
          <w:color w:val="auto"/>
        </w:rPr>
      </w:pPr>
      <w:r>
        <w:rPr>
          <w:rFonts w:ascii="Times New Roman" w:cs="Times New Roman" w:eastAsia="Times New Roman" w:hAnsi="Times New Roman"/>
          <w:sz w:val="13"/>
          <w:szCs w:val="13"/>
          <w:color w:val="auto"/>
        </w:rPr>
        <w:t>Tijuana</w:t>
      </w:r>
    </w:p>
    <w:p>
      <w:pPr>
        <w:spacing w:after="0" w:line="217" w:lineRule="auto"/>
        <w:rPr>
          <w:sz w:val="20"/>
          <w:szCs w:val="20"/>
          <w:color w:val="auto"/>
        </w:rPr>
      </w:pPr>
      <w:r>
        <w:rPr>
          <w:rFonts w:ascii="Times New Roman" w:cs="Times New Roman" w:eastAsia="Times New Roman" w:hAnsi="Times New Roman"/>
          <w:sz w:val="13"/>
          <w:szCs w:val="13"/>
          <w:color w:val="auto"/>
        </w:rPr>
        <w:t>Toronto</w:t>
      </w:r>
    </w:p>
    <w:p>
      <w:pPr>
        <w:spacing w:after="0"/>
        <w:rPr>
          <w:sz w:val="20"/>
          <w:szCs w:val="20"/>
          <w:color w:val="auto"/>
        </w:rPr>
      </w:pPr>
      <w:r>
        <w:rPr>
          <w:rFonts w:ascii="Times New Roman" w:cs="Times New Roman" w:eastAsia="Times New Roman" w:hAnsi="Times New Roman"/>
          <w:sz w:val="13"/>
          <w:szCs w:val="13"/>
          <w:color w:val="auto"/>
        </w:rPr>
        <w:t>Washington, DC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Associated Firm</w:t>
      </w:r>
    </w:p>
    <w:p>
      <w:pPr>
        <w:spacing w:after="0"/>
        <w:rPr>
          <w:sz w:val="20"/>
          <w:szCs w:val="20"/>
          <w:color w:val="auto"/>
        </w:rPr>
      </w:pPr>
      <w:r>
        <w:rPr>
          <w:rFonts w:ascii="Times New Roman" w:cs="Times New Roman" w:eastAsia="Times New Roman" w:hAnsi="Times New Roman"/>
          <w:sz w:val="12"/>
          <w:szCs w:val="12"/>
          <w:color w:val="auto"/>
        </w:rPr>
        <w:t>** In cooperation with Trench, Rossi e Watanabe Advogados</w:t>
      </w:r>
    </w:p>
    <w:p>
      <w:pPr>
        <w:spacing w:after="0" w:line="20" w:lineRule="exact"/>
        <w:rPr>
          <w:sz w:val="20"/>
          <w:szCs w:val="20"/>
          <w:color w:val="auto"/>
        </w:rPr>
      </w:pPr>
      <w:r>
        <w:rPr>
          <w:sz w:val="20"/>
          <w:szCs w:val="20"/>
          <w:color w:val="auto"/>
        </w:rPr>
        <w:br w:type="column"/>
      </w:r>
    </w:p>
    <w:p>
      <w:pPr>
        <w:ind w:left="7022"/>
        <w:spacing w:after="0"/>
        <w:rPr>
          <w:sz w:val="20"/>
          <w:szCs w:val="20"/>
          <w:color w:val="auto"/>
        </w:rPr>
      </w:pPr>
      <w:r>
        <w:rPr>
          <w:rFonts w:ascii="Times New Roman" w:cs="Times New Roman" w:eastAsia="Times New Roman" w:hAnsi="Times New Roman"/>
          <w:sz w:val="17"/>
          <w:szCs w:val="17"/>
          <w:b w:val="1"/>
          <w:bCs w:val="1"/>
          <w:color w:val="auto"/>
        </w:rPr>
        <w:t>Exhibit 8.3</w:t>
      </w:r>
    </w:p>
    <w:p>
      <w:pPr>
        <w:spacing w:after="0" w:line="115"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b w:val="1"/>
          <w:bCs w:val="1"/>
          <w:color w:val="auto"/>
        </w:rPr>
        <w:t>Baker &amp; McKenzie Advokatbyrå KB</w:t>
      </w:r>
    </w:p>
    <w:p>
      <w:pPr>
        <w:spacing w:after="0" w:line="108"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Vasagatan 7</w:t>
      </w:r>
    </w:p>
    <w:p>
      <w:pPr>
        <w:spacing w:after="0" w:line="27"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P.O. Box 180</w:t>
      </w:r>
    </w:p>
    <w:p>
      <w:pPr>
        <w:spacing w:after="0" w:line="9"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SE-101 23 Stockholm</w:t>
      </w:r>
    </w:p>
    <w:p>
      <w:pPr>
        <w:spacing w:after="0" w:line="9"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Sweden</w:t>
      </w:r>
    </w:p>
    <w:p>
      <w:pPr>
        <w:spacing w:after="0" w:line="85"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Tel: +46 8 566 177 00</w:t>
      </w:r>
    </w:p>
    <w:p>
      <w:pPr>
        <w:spacing w:after="0" w:line="27"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Fax: +46 8 566 177 99</w:t>
      </w:r>
    </w:p>
    <w:p>
      <w:pPr>
        <w:spacing w:after="0" w:line="9"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reception.stockholm@bakermckenzie.com</w:t>
      </w:r>
    </w:p>
    <w:p>
      <w:pPr>
        <w:spacing w:after="0" w:line="9"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www.bakermckenzie.com</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June 12, 2024</w:t>
      </w:r>
    </w:p>
    <w:p>
      <w:pPr>
        <w:spacing w:after="0" w:line="1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Rosenlundsgatan 31</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11 863 Stockholm</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Sweden</w:t>
      </w:r>
    </w:p>
    <w:p>
      <w:pPr>
        <w:spacing w:after="0" w:line="1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Opinion Letter</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Statements as to Swedish tax laws in the Form F-1 of NIP Group Inc.</w:t>
      </w:r>
    </w:p>
    <w:p>
      <w:pPr>
        <w:spacing w:after="0" w:line="122" w:lineRule="exact"/>
        <w:rPr>
          <w:sz w:val="20"/>
          <w:szCs w:val="20"/>
          <w:color w:val="auto"/>
        </w:rPr>
      </w:pPr>
    </w:p>
    <w:p>
      <w:pPr>
        <w:ind w:left="642" w:hanging="642"/>
        <w:spacing w:after="0"/>
        <w:tabs>
          <w:tab w:leader="none" w:pos="642"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 xml:space="preserve">We have acted as Swedish tax adviser for NIP Group Inc., </w:t>
      </w:r>
      <w:r>
        <w:rPr>
          <w:rFonts w:ascii="Times New Roman" w:cs="Times New Roman" w:eastAsia="Times New Roman" w:hAnsi="Times New Roman"/>
          <w:sz w:val="18"/>
          <w:szCs w:val="18"/>
          <w:color w:val="242021"/>
        </w:rPr>
        <w:t>a company tax resident in the 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Company</w:t>
      </w:r>
      <w:r>
        <w:rPr>
          <w:rFonts w:ascii="Times New Roman" w:cs="Times New Roman" w:eastAsia="Times New Roman" w:hAnsi="Times New Roman"/>
          <w:sz w:val="18"/>
          <w:szCs w:val="18"/>
          <w:color w:val="000000"/>
        </w:rPr>
        <w:t>" or the "</w:t>
      </w:r>
      <w:r>
        <w:rPr>
          <w:rFonts w:ascii="Times New Roman" w:cs="Times New Roman" w:eastAsia="Times New Roman" w:hAnsi="Times New Roman"/>
          <w:sz w:val="18"/>
          <w:szCs w:val="18"/>
          <w:b w:val="1"/>
          <w:bCs w:val="1"/>
          <w:color w:val="000000"/>
        </w:rPr>
        <w:t>Offeror</w:t>
      </w:r>
      <w:r>
        <w:rPr>
          <w:rFonts w:ascii="Times New Roman" w:cs="Times New Roman" w:eastAsia="Times New Roman" w:hAnsi="Times New Roman"/>
          <w:sz w:val="18"/>
          <w:szCs w:val="18"/>
          <w:color w:val="000000"/>
        </w:rPr>
        <w:t>"), with respect to the registration statement on Form F-1 filed under the</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Securities Act of 1933, as amended (the "</w:t>
      </w:r>
      <w:r>
        <w:rPr>
          <w:rFonts w:ascii="Times New Roman" w:cs="Times New Roman" w:eastAsia="Times New Roman" w:hAnsi="Times New Roman"/>
          <w:sz w:val="18"/>
          <w:szCs w:val="18"/>
          <w:b w:val="1"/>
          <w:bCs w:val="1"/>
          <w:color w:val="000000"/>
        </w:rPr>
        <w:t>Securities Act</w:t>
      </w:r>
      <w:r>
        <w:rPr>
          <w:rFonts w:ascii="Times New Roman" w:cs="Times New Roman" w:eastAsia="Times New Roman" w:hAnsi="Times New Roman"/>
          <w:sz w:val="18"/>
          <w:szCs w:val="18"/>
          <w:color w:val="000000"/>
        </w:rPr>
        <w:t>"), on or about the date hereof (the "</w:t>
      </w:r>
      <w:r>
        <w:rPr>
          <w:rFonts w:ascii="Times New Roman" w:cs="Times New Roman" w:eastAsia="Times New Roman" w:hAnsi="Times New Roman"/>
          <w:sz w:val="18"/>
          <w:szCs w:val="18"/>
          <w:b w:val="1"/>
          <w:bCs w:val="1"/>
          <w:color w:val="000000"/>
        </w:rPr>
        <w:t>Registration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Statement</w:t>
      </w:r>
      <w:r>
        <w:rPr>
          <w:rFonts w:ascii="Times New Roman" w:cs="Times New Roman" w:eastAsia="Times New Roman" w:hAnsi="Times New Roman"/>
          <w:sz w:val="18"/>
          <w:szCs w:val="18"/>
          <w:color w:val="000000"/>
        </w:rPr>
        <w:t>"), relating to the registration of American Depositary Shares (the "</w:t>
      </w:r>
      <w:r>
        <w:rPr>
          <w:rFonts w:ascii="Times New Roman" w:cs="Times New Roman" w:eastAsia="Times New Roman" w:hAnsi="Times New Roman"/>
          <w:sz w:val="18"/>
          <w:szCs w:val="18"/>
          <w:b w:val="1"/>
          <w:bCs w:val="1"/>
          <w:color w:val="000000"/>
        </w:rPr>
        <w:t>ADSs</w:t>
      </w:r>
      <w:r>
        <w:rPr>
          <w:rFonts w:ascii="Times New Roman" w:cs="Times New Roman" w:eastAsia="Times New Roman" w:hAnsi="Times New Roman"/>
          <w:sz w:val="18"/>
          <w:szCs w:val="18"/>
          <w:color w:val="000000"/>
        </w:rPr>
        <w:t>") issuable upon deposit</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of the Company's ordinary shares as described in the Company's Registration Statement. This opinion is being furnished to you in connection with the Registration Statement.</w:t>
      </w:r>
    </w:p>
    <w:p>
      <w:pPr>
        <w:spacing w:after="0" w:line="106"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For the purposes of this opinion, we have examined, and relied solely upon the pdf copy of the Registration Statement and the facts contained therein, but not any documents or agreements cross referred to in the Registration Statement. We have not investigated or verified any factual matter disclosed to us in the course of our review.</w:t>
      </w:r>
    </w:p>
    <w:p>
      <w:pPr>
        <w:spacing w:after="0" w:line="99"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7"/>
          <w:szCs w:val="17"/>
          <w:color w:val="auto"/>
        </w:rPr>
        <w:t>Defined terms used in this opinion letter and not defined herein are defined in the Registration Statement.</w:t>
      </w:r>
    </w:p>
    <w:p>
      <w:pPr>
        <w:spacing w:after="0" w:line="152" w:lineRule="exact"/>
        <w:rPr>
          <w:sz w:val="20"/>
          <w:szCs w:val="20"/>
          <w:color w:val="auto"/>
        </w:rPr>
      </w:pPr>
    </w:p>
    <w:p>
      <w:pPr>
        <w:ind w:left="642" w:hanging="642"/>
        <w:spacing w:after="0"/>
        <w:tabs>
          <w:tab w:leader="none" w:pos="642" w:val="left"/>
        </w:tabs>
        <w:numPr>
          <w:ilvl w:val="0"/>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Swedish Tax Law</w:t>
      </w:r>
    </w:p>
    <w:p>
      <w:pPr>
        <w:spacing w:after="0" w:line="148" w:lineRule="exact"/>
        <w:rPr>
          <w:sz w:val="20"/>
          <w:szCs w:val="20"/>
          <w:color w:val="auto"/>
        </w:rPr>
      </w:pPr>
    </w:p>
    <w:p>
      <w:pPr>
        <w:jc w:val="both"/>
        <w:ind w:left="2" w:right="60"/>
        <w:spacing w:after="0" w:line="266" w:lineRule="auto"/>
        <w:rPr>
          <w:sz w:val="20"/>
          <w:szCs w:val="20"/>
          <w:color w:val="auto"/>
        </w:rPr>
      </w:pPr>
      <w:r>
        <w:rPr>
          <w:rFonts w:ascii="Times New Roman" w:cs="Times New Roman" w:eastAsia="Times New Roman" w:hAnsi="Times New Roman"/>
          <w:sz w:val="18"/>
          <w:szCs w:val="18"/>
          <w:color w:val="auto"/>
        </w:rPr>
        <w:t>This opinion is limited to the tax laws of Sweden in effect on the date of this opinion. It is to be construed in accordance with the tax laws of Sweden (including all terms used in it). We express no opinion herein other than as to the tax laws of Sweden.</w:t>
      </w:r>
    </w:p>
    <w:p>
      <w:pPr>
        <w:spacing w:after="0" w:line="5143" w:lineRule="exact"/>
        <w:rPr>
          <w:sz w:val="20"/>
          <w:szCs w:val="20"/>
          <w:color w:val="auto"/>
        </w:rPr>
      </w:pPr>
    </w:p>
    <w:p>
      <w:pPr>
        <w:sectPr>
          <w:pgSz w:w="11900" w:h="16838" w:orient="portrait"/>
          <w:cols w:equalWidth="0" w:num="2">
            <w:col w:w="3100" w:space="278"/>
            <w:col w:w="7862"/>
          </w:cols>
          <w:pgMar w:left="320" w:top="117" w:right="339" w:bottom="1440" w:gutter="0" w:footer="0" w:header="0"/>
        </w:sectPr>
      </w:pPr>
    </w:p>
    <w:p>
      <w:pPr>
        <w:jc w:val="center"/>
        <w:ind w:right="20"/>
        <w:spacing w:after="0"/>
        <w:rPr>
          <w:sz w:val="20"/>
          <w:szCs w:val="20"/>
          <w:color w:val="auto"/>
        </w:rPr>
      </w:pPr>
      <w:r>
        <w:rPr>
          <w:rFonts w:ascii="Times New Roman" w:cs="Times New Roman" w:eastAsia="Times New Roman" w:hAnsi="Times New Roman"/>
          <w:sz w:val="17"/>
          <w:szCs w:val="17"/>
          <w:color w:val="auto"/>
        </w:rPr>
        <w:t>Baker &amp; McKenzie Advokatbyrå KB is a member of Baker &amp; McKenzie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4" w:name="page475"/>
    <w:bookmarkEnd w:id="4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14145" cy="5657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65785"/>
                    </a:xfrm>
                    <a:prstGeom prst="rect">
                      <a:avLst/>
                    </a:prstGeom>
                    <a:noFill/>
                  </pic:spPr>
                </pic:pic>
              </a:graphicData>
            </a:graphic>
          </wp:anchor>
        </w:drawing>
      </w:r>
    </w:p>
    <w:p>
      <w:pPr>
        <w:spacing w:after="0" w:line="287" w:lineRule="exact"/>
        <w:rPr>
          <w:sz w:val="20"/>
          <w:szCs w:val="20"/>
          <w:color w:val="auto"/>
        </w:rPr>
      </w:pPr>
    </w:p>
    <w:p>
      <w:pPr>
        <w:ind w:left="2900" w:hanging="642"/>
        <w:spacing w:after="0"/>
        <w:tabs>
          <w:tab w:leader="none" w:pos="2900"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For the purpose of this opinion we have made the following assumptions:</w:t>
      </w:r>
    </w:p>
    <w:p>
      <w:pPr>
        <w:spacing w:after="0" w:line="144" w:lineRule="exact"/>
        <w:rPr>
          <w:sz w:val="20"/>
          <w:szCs w:val="20"/>
          <w:color w:val="auto"/>
        </w:rPr>
      </w:pPr>
    </w:p>
    <w:p>
      <w:pPr>
        <w:jc w:val="both"/>
        <w:ind w:left="2900" w:hanging="318"/>
        <w:spacing w:after="0" w:line="266"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"Regulations on Taxation – Sweden" and "Taxation – Sweden Taxation" of the Registration Statement will be filed with the U.S. Securities and Exchange Commission and published in the form and with the statements approved by us and referred to in this opinion letter;</w:t>
      </w:r>
    </w:p>
    <w:p>
      <w:pPr>
        <w:spacing w:after="0" w:line="94" w:lineRule="exact"/>
        <w:rPr>
          <w:rFonts w:ascii="Times New Roman" w:cs="Times New Roman" w:eastAsia="Times New Roman" w:hAnsi="Times New Roman"/>
          <w:sz w:val="18"/>
          <w:szCs w:val="18"/>
          <w:color w:val="auto"/>
        </w:rPr>
      </w:pPr>
    </w:p>
    <w:p>
      <w:pPr>
        <w:jc w:val="both"/>
        <w:ind w:left="2900" w:hanging="318"/>
        <w:spacing w:after="0" w:line="258"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"Regulations on Employment – Sweden" (to the extent covering reclassification of consultancy relationships, level of and basis for income tax, employer fees, withholding tax and surcharges) of the Registration Statement will be filed with the U.S. Securities and Exchange Commission and published in the form and with the statements approved by us and referred to in this opinion letter;</w:t>
      </w:r>
    </w:p>
    <w:p>
      <w:pPr>
        <w:spacing w:after="0" w:line="102" w:lineRule="exact"/>
        <w:rPr>
          <w:rFonts w:ascii="Times New Roman" w:cs="Times New Roman" w:eastAsia="Times New Roman" w:hAnsi="Times New Roman"/>
          <w:sz w:val="18"/>
          <w:szCs w:val="18"/>
          <w:color w:val="auto"/>
        </w:rPr>
      </w:pPr>
    </w:p>
    <w:p>
      <w:pPr>
        <w:jc w:val="both"/>
        <w:ind w:left="2900" w:right="20" w:hanging="318"/>
        <w:spacing w:after="0" w:line="266"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residency of the Offeror is and will remain in Cayman Islands and the Offeror is and will be able, if required, to sufficiently demonstrate to the Cayman Island tax authorities that its tax residency is and has been continuously in Cayman Islands.</w:t>
      </w:r>
    </w:p>
    <w:p>
      <w:pPr>
        <w:spacing w:after="0" w:line="94" w:lineRule="exact"/>
        <w:rPr>
          <w:rFonts w:ascii="Times New Roman" w:cs="Times New Roman" w:eastAsia="Times New Roman" w:hAnsi="Times New Roman"/>
          <w:sz w:val="18"/>
          <w:szCs w:val="18"/>
          <w:color w:val="auto"/>
        </w:rPr>
      </w:pPr>
    </w:p>
    <w:p>
      <w:pPr>
        <w:jc w:val="both"/>
        <w:ind w:left="2900" w:hanging="318"/>
        <w:spacing w:after="0" w:line="266"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qualify for Swedish tax purposes as "American Depository Receipts" taxed in the same manner as the underlying share in accordance with Chapter 48 section 2 of the Swedish Income Tax Act.</w:t>
      </w:r>
    </w:p>
    <w:p>
      <w:pPr>
        <w:spacing w:after="0" w:line="94" w:lineRule="exact"/>
        <w:rPr>
          <w:rFonts w:ascii="Times New Roman" w:cs="Times New Roman" w:eastAsia="Times New Roman" w:hAnsi="Times New Roman"/>
          <w:sz w:val="18"/>
          <w:szCs w:val="18"/>
          <w:color w:val="auto"/>
        </w:rPr>
      </w:pPr>
    </w:p>
    <w:p>
      <w:pPr>
        <w:jc w:val="both"/>
        <w:ind w:left="2900" w:hanging="318"/>
        <w:spacing w:after="0" w:line="254"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relevant for this opinion letter, all factual statements and assumptions made in the Registration Statement are correct, complete and not misleading in all respects. All agreements expected to be entered into in the Registration Statement and this opinion letter will be validly entered into as expected and will provide for the terms and conditions expected to be agreed to in the Registration Statement and this opinion letter. All documents provided for the analysis set out in the referred Registration Statement are authentic, valid and complete. All copies of documents provided are identical to the original documents. All signatures are genuine and were provided with full legal capacity and valid authority.</w:t>
      </w:r>
    </w:p>
    <w:p>
      <w:pPr>
        <w:spacing w:after="0" w:line="110" w:lineRule="exact"/>
        <w:rPr>
          <w:rFonts w:ascii="Times New Roman" w:cs="Times New Roman" w:eastAsia="Times New Roman" w:hAnsi="Times New Roman"/>
          <w:sz w:val="18"/>
          <w:szCs w:val="18"/>
          <w:color w:val="auto"/>
        </w:rPr>
      </w:pPr>
    </w:p>
    <w:p>
      <w:pPr>
        <w:jc w:val="both"/>
        <w:ind w:left="2900" w:right="20" w:hanging="318"/>
        <w:spacing w:after="0" w:line="261"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based on our understanding of the proper interpretation of Swedish tax legislation, Swedish tax court decisions, regulations and interpretations of Swedish tax law in existence on the date of this opinion. Changes in law or its interpretation by Swedish tax authorities or Swedish tax courts may occur after the date of this opinion and their effect may be retrospective.</w:t>
      </w:r>
    </w:p>
    <w:p>
      <w:pPr>
        <w:spacing w:after="0" w:line="98" w:lineRule="exact"/>
        <w:rPr>
          <w:rFonts w:ascii="Times New Roman" w:cs="Times New Roman" w:eastAsia="Times New Roman" w:hAnsi="Times New Roman"/>
          <w:sz w:val="18"/>
          <w:szCs w:val="18"/>
          <w:color w:val="auto"/>
        </w:rPr>
      </w:pPr>
    </w:p>
    <w:p>
      <w:pPr>
        <w:jc w:val="both"/>
        <w:ind w:left="2900" w:hanging="318"/>
        <w:spacing w:after="0" w:line="258" w:lineRule="auto"/>
        <w:tabs>
          <w:tab w:leader="none" w:pos="29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we express our view as to certain matters referred to in the Registration Statement based on our professional experience and an analysis of the relevant legal sources, if any are available. The views are an expression of professional judgment regarding the legal matter addressed and do not guarantee that the Swedish tax authorities or the Swedish federal tax court will reach any particular result or will fully share the view expressed herein.</w:t>
      </w:r>
    </w:p>
    <w:p>
      <w:pPr>
        <w:spacing w:after="0" w:line="102" w:lineRule="exact"/>
        <w:rPr>
          <w:sz w:val="20"/>
          <w:szCs w:val="20"/>
          <w:color w:val="auto"/>
        </w:rPr>
      </w:pPr>
    </w:p>
    <w:p>
      <w:pPr>
        <w:jc w:val="both"/>
        <w:ind w:left="2260"/>
        <w:spacing w:after="0" w:line="266" w:lineRule="auto"/>
        <w:rPr>
          <w:sz w:val="20"/>
          <w:szCs w:val="20"/>
          <w:color w:val="auto"/>
        </w:rPr>
      </w:pPr>
      <w:r>
        <w:rPr>
          <w:rFonts w:ascii="Times New Roman" w:cs="Times New Roman" w:eastAsia="Times New Roman" w:hAnsi="Times New Roman"/>
          <w:sz w:val="18"/>
          <w:szCs w:val="18"/>
          <w:color w:val="auto"/>
        </w:rPr>
        <w:t>Where these assumptions refer to facts that have been realized or are assumed to have been realized as of the date of this opinion letter, we have not carried out any inquiry to confirm whether the respective assumption is correct and we do not accept any obligation or liability to carry out any such inquiry.</w:t>
      </w:r>
    </w:p>
    <w:p>
      <w:pPr>
        <w:spacing w:after="0" w:line="91" w:lineRule="exact"/>
        <w:rPr>
          <w:sz w:val="20"/>
          <w:szCs w:val="20"/>
          <w:color w:val="auto"/>
        </w:rPr>
      </w:pPr>
    </w:p>
    <w:p>
      <w:pPr>
        <w:ind w:left="2900" w:hanging="642"/>
        <w:spacing w:after="0"/>
        <w:tabs>
          <w:tab w:leader="none" w:pos="290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48" w:lineRule="exact"/>
        <w:rPr>
          <w:sz w:val="20"/>
          <w:szCs w:val="20"/>
          <w:color w:val="auto"/>
        </w:rPr>
      </w:pPr>
    </w:p>
    <w:p>
      <w:pPr>
        <w:jc w:val="both"/>
        <w:ind w:left="2260"/>
        <w:spacing w:after="0" w:line="258" w:lineRule="auto"/>
        <w:rPr>
          <w:sz w:val="20"/>
          <w:szCs w:val="20"/>
          <w:color w:val="auto"/>
        </w:rPr>
      </w:pPr>
      <w:r>
        <w:rPr>
          <w:rFonts w:ascii="Times New Roman" w:cs="Times New Roman" w:eastAsia="Times New Roman" w:hAnsi="Times New Roman"/>
          <w:sz w:val="18"/>
          <w:szCs w:val="18"/>
          <w:color w:val="auto"/>
        </w:rPr>
        <w:t>Based on the documents and information referred to and the assumptions made in this opinion letter the statements set forth in the section "Taxation – Sweden Taxation" of the Registration Statement, insofar as such statements discuss the material Swedish tax consequences for a holder of acquiring, owning and disposing of the ADSs, represent our opinion with respect to the matters referred to therein and present a fair summary thereof.</w:t>
      </w:r>
    </w:p>
    <w:p>
      <w:pPr>
        <w:spacing w:after="0" w:line="98" w:lineRule="exact"/>
        <w:rPr>
          <w:sz w:val="20"/>
          <w:szCs w:val="20"/>
          <w:color w:val="auto"/>
        </w:rPr>
      </w:pPr>
    </w:p>
    <w:p>
      <w:pPr>
        <w:ind w:left="2900" w:hanging="642"/>
        <w:spacing w:after="0"/>
        <w:tabs>
          <w:tab w:leader="none" w:pos="290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148" w:lineRule="exact"/>
        <w:rPr>
          <w:sz w:val="20"/>
          <w:szCs w:val="20"/>
          <w:color w:val="auto"/>
        </w:rPr>
      </w:pPr>
    </w:p>
    <w:p>
      <w:pPr>
        <w:jc w:val="both"/>
        <w:ind w:left="2260"/>
        <w:spacing w:after="0" w:line="256" w:lineRule="auto"/>
        <w:rPr>
          <w:sz w:val="20"/>
          <w:szCs w:val="20"/>
          <w:color w:val="auto"/>
        </w:rPr>
      </w:pPr>
      <w:r>
        <w:rPr>
          <w:rFonts w:ascii="Times New Roman" w:cs="Times New Roman" w:eastAsia="Times New Roman" w:hAnsi="Times New Roman"/>
          <w:sz w:val="18"/>
          <w:szCs w:val="18"/>
          <w:color w:val="auto"/>
        </w:rPr>
        <w:t>This opinion letter has been prepared exclusively for the board of directors of the Offeror and is solely for their benefit in connection with the transaction described herein. Save for the use of this opinion as an exhibit to the Registration Statement, this opinion letter may not be supplied, and its contents or existence may not be disclosed, to any person and may not be relied upon for any other purpose. However, this opinion may be relied upon by persons entitled to rely on it pursuant to applicable provisions of federal securities law.</w:t>
      </w:r>
    </w:p>
    <w:p>
      <w:pPr>
        <w:spacing w:after="0" w:line="33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75" w:name="page476"/>
    <w:bookmarkEnd w:id="4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14145" cy="5657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clrChange>
                        <a:clrFrom>
                          <a:srgbClr val="FFFFFF"/>
                        </a:clrFrom>
                        <a:clrTo>
                          <a:srgbClr val="FFFFFF">
                            <a:alpha val="0"/>
                          </a:srgbClr>
                        </a:clrTo>
                      </a:clrChange>
                      <a:extLst>
                        <a:ext uri="{28A0092B-C50C-407E-A947-70E740481C1C}"/>
                      </a:extLst>
                    </a:blip>
                    <a:srcRect/>
                    <a:stretch>
                      <a:fillRect/>
                    </a:stretch>
                  </pic:blipFill>
                  <pic:spPr bwMode="auto">
                    <a:xfrm>
                      <a:off x="0" y="0"/>
                      <a:ext cx="1414145" cy="565785"/>
                    </a:xfrm>
                    <a:prstGeom prst="rect">
                      <a:avLst/>
                    </a:prstGeom>
                    <a:noFill/>
                  </pic:spPr>
                </pic:pic>
              </a:graphicData>
            </a:graphic>
          </wp:anchor>
        </w:drawing>
      </w:r>
    </w:p>
    <w:p>
      <w:pPr>
        <w:spacing w:after="0" w:line="291" w:lineRule="exact"/>
        <w:rPr>
          <w:sz w:val="20"/>
          <w:szCs w:val="20"/>
          <w:color w:val="auto"/>
        </w:rPr>
      </w:pPr>
    </w:p>
    <w:p>
      <w:pPr>
        <w:jc w:val="both"/>
        <w:ind w:left="2260"/>
        <w:spacing w:after="0" w:line="261" w:lineRule="auto"/>
        <w:rPr>
          <w:sz w:val="20"/>
          <w:szCs w:val="20"/>
          <w:color w:val="auto"/>
        </w:rPr>
      </w:pPr>
      <w:r>
        <w:rPr>
          <w:rFonts w:ascii="Times New Roman" w:cs="Times New Roman" w:eastAsia="Times New Roman" w:hAnsi="Times New Roman"/>
          <w:sz w:val="18"/>
          <w:szCs w:val="18"/>
          <w:color w:val="auto"/>
        </w:rPr>
        <w:t>No undertaking is assumed on our part to revise, update or amend this opinion letter in connection with or to notify or inform you of, any developments and/or changes of Swedish tax law subsequent to today's date. We also do not purport to opine on the consequences of amendments to the Registration Statement subsequent to the date of this opinion.</w:t>
      </w:r>
    </w:p>
    <w:p>
      <w:pPr>
        <w:spacing w:after="0" w:line="99" w:lineRule="exact"/>
        <w:rPr>
          <w:sz w:val="20"/>
          <w:szCs w:val="20"/>
          <w:color w:val="auto"/>
        </w:rPr>
      </w:pPr>
    </w:p>
    <w:p>
      <w:pPr>
        <w:jc w:val="both"/>
        <w:ind w:left="2260"/>
        <w:spacing w:after="0" w:line="258" w:lineRule="auto"/>
        <w:rPr>
          <w:sz w:val="20"/>
          <w:szCs w:val="20"/>
          <w:color w:val="auto"/>
        </w:rPr>
      </w:pPr>
      <w:r>
        <w:rPr>
          <w:rFonts w:ascii="Times New Roman" w:cs="Times New Roman" w:eastAsia="Times New Roman" w:hAnsi="Times New Roman"/>
          <w:sz w:val="18"/>
          <w:szCs w:val="18"/>
          <w:color w:val="auto"/>
        </w:rPr>
        <w:t>Each person relying on this opinion letter agrees, in so relying, that only Baker &amp; McKenzie Advokatbyrå Kommanditbolag shall have any liability in connection with this opinion letter, that the agreement in this paragraph and all liability and all other matters arising from or relating to this opinion letter shall be governed exclusively by Swedish law and that the district court Stockholm shall have the exclusive jurisdiction to settle any dispute arising from or relating to this opinion letter.</w:t>
      </w:r>
    </w:p>
    <w:p>
      <w:pPr>
        <w:spacing w:after="0" w:line="98" w:lineRule="exact"/>
        <w:rPr>
          <w:sz w:val="20"/>
          <w:szCs w:val="20"/>
          <w:color w:val="auto"/>
        </w:rPr>
      </w:pPr>
    </w:p>
    <w:p>
      <w:pPr>
        <w:ind w:left="2900" w:hanging="642"/>
        <w:spacing w:after="0"/>
        <w:tabs>
          <w:tab w:leader="none" w:pos="290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148" w:lineRule="exact"/>
        <w:rPr>
          <w:sz w:val="20"/>
          <w:szCs w:val="20"/>
          <w:color w:val="auto"/>
        </w:rPr>
      </w:pPr>
    </w:p>
    <w:p>
      <w:pPr>
        <w:jc w:val="both"/>
        <w:ind w:left="226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an exhibit to the Registration Statement. In giving these consents, we do not admit that we are in the category of persons whose consent is required under Section 7 of the U.S. Securities Act of 1933, as amended, or the rules and regulations promulgated thereunder.</w:t>
      </w:r>
    </w:p>
    <w:p>
      <w:pPr>
        <w:spacing w:after="0" w:line="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1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Baker &amp; McKenzie Advokatbyrå Kommanditbolag</w:t>
      </w:r>
    </w:p>
    <w:p>
      <w:pPr>
        <w:spacing w:after="0" w:line="1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Baker &amp; McKenzie Advokatbyrå Kommanditbolag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76" w:name="page477"/>
    <w:bookmarkEnd w:id="47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ESVF Esports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SHARE INCENTIVE PLAN</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this ESVF Esports Group Inc. 2021 Share Incentive Plan (the “Plan”) is to promote the success and enhance the value of ESVF Esports Group Inc. (the “Company”) by linking the personal interests of the members of the Board and Employees to those of Company shareholders and by providing such individuals with an incentive for outstanding performance to generate superior returns to Company shareholders. The Plan is further intended to provide flexibility to the Company in its ability to motivate, attract, and retain the services of members of the Board and Employees upon whose judgment, interests and special efforts the successful conduct of the Company’s operation is largely dependent.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entity or person that conducts the general administration of the Plan as provided in Article 9. With reference to the duties of the Committee under the Plan which have been delegated to one or more persons pursuant to Section 9.1, or as to which the Board has assumed, the term “Administrator” shall refer to such person(s) unless the Committee or the Board has revoked such delegation or the Board has terminated the assumption of such duties.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Applicable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(i) the laws of the Cayman Islands as they relate to the Company and its Shares; (ii) the legal requirements relating to the Plan and the Awards under applicable provisions of the corporate, securities, tax and other laws, rules, regulations and government orders of any jurisdiction applicable to Awards granted to residents; and (iii) the rules of any applicable securities exchange, national market system or automated quotation system on which the Shares are listed, quoted or traded.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shall mean an article of this Plan.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shall mean Company’s Amended and Restated Memorandum of Association and Articles of Association, as such may be amended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a Restricted Share award, a Restricted Share Unit award or other types of awards, in the form of cash or otherwise, which may be awarded or granted under the Plan (collectively,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the grant of an Award, including through electronic medium, which shall contain such terms and conditions with respect to an Award as the Administrator shall determine consistent with the Plan.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(unless otherwise expressly provided in the applicable Award Agreement or another applicable contract with the Holder that defines such term for purposes of determining the effect that a “for cause” termination has on the Holder’s Awards) a termination of employment or service based upon a finding by the Service Recipient, acting in good faith and based on its reasonable belief at the time, that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7" w:name="page478"/>
    <w:bookmarkEnd w:id="477"/>
    <w:p>
      <w:pPr>
        <w:ind w:firstLine="1304"/>
        <w:spacing w:after="0" w:line="282" w:lineRule="auto"/>
        <w:tabs>
          <w:tab w:leader="none" w:pos="154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dishonest or committed or engaged in an act of theft, embezzlement or fraud, a breach of confidentiality, an unauthorized disclosure or use of inside information, customer lists, trade secrets or other confidential information;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breached a fiduciary duty, or materially violated any other duty, law, rule, regulation or policy of the Service Recipient; or has been convicted of, or plead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misdemeanor (other than minor traffic violations or similar offenses);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materially breached any of the provisions of any agreement with the Service Recipient;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unfair competition with, or otherwise acted intentionally in a manner injurious to the reputation, business or assets of, the Service Recipient;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7"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improperly induced a vendor or customer to break or terminate any contract with the Service Recipient or induced a principal for whom the Service Recipient acts as agent to terminate such agency relationship.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United States Internal Revenue Code of 1986,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another committee or subcommittee of one or more members of the Board, appointed as provided in Section 9.1.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2.12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mean ESVF Esports Group Inc., an exempted company incorporated under the laws of the Cayman Islands with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shall mean any of the following transactions,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shall determine under (f) and (g) whether multiple transactions are related, and its determination shall be final, binding and conclusive:</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an amalgamation, arrangement, consolidation or scheme of arrangement in which the Company is not the surviving entity, except for a transaction the principal purpose of which is to change the jurisdiction in which the Company is incorporated or which following such transaction the holders of the Company’s voting securities immediately prior to such transaction own fifty percent (50%) or more of the surviving entity;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under the Exchange Act) of securities possessing more than fifty percent (50%) of the total combined voting power of the Company’s outstanding securities pursuant to a tender or exchange offer made directly to the Company’s shareholders which a majority of the Incumbent Board (as defined below) who are not affiliates or associates of the offeror under Rule 12b-2 promulgated under the Exchange Act do not recommend such shareholders accept;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individuals who, as of the Effective Date, are members of the Board (the “Incumbent Board”), cease for any reason to constitute at least fifty percent (50%) of the Board;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election, or nomination for election by the Company’s shareholders, of any new member of the Board is approved by a vote of at least fifty percent (50%) of the Incumbent Board, such new member of the Board shall be considered as a member of the Incumbent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18"/>
          <w:szCs w:val="18"/>
          <w:color w:val="auto"/>
        </w:rPr>
        <w:t>(d)           the sale, transfer or other disposition of all or substantially all of the assets of the Company (other than to a Parent, Subsidiary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Entity);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completion of a voluntary or insolvent liquidation or dissolution of the Company;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any reverse takeover, scheme of arrangement, or series of related transactions culminating in a reverse takeover or scheme of arrangement (including, but not limited to, a tender offer followed by a reverse takeover) in which the Company survives but (A) the Shares of the Company outstanding immediately prior to such transaction are converted or exchanged by virtue of the transaction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transaction culminating in such takeover or scheme of arrangement, but excluding any such transaction or series of related transactions that the Committee determines shall not be a Corporate Transaction; or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acquisition in a single or series of related transactions by any person or related group of persons (other than the Company or by a Company-sponsored employee benefit plan) of beneficial ownership (within the meaning of Rule 13d-3 under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in the foregoing to the contrary, with respect to compensation (A) that is subject to Section 409A of the Code and</w:t>
      </w:r>
    </w:p>
    <w:p>
      <w:pPr>
        <w:spacing w:after="0" w:line="27" w:lineRule="exact"/>
        <w:rPr>
          <w:sz w:val="20"/>
          <w:szCs w:val="20"/>
          <w:color w:val="auto"/>
        </w:rPr>
      </w:pPr>
    </w:p>
    <w:p>
      <w:pPr>
        <w:jc w:val="both"/>
        <w:ind w:firstLine="8"/>
        <w:spacing w:after="0" w:line="253" w:lineRule="auto"/>
        <w:tabs>
          <w:tab w:leader="none" w:pos="30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Corporate Transaction would accelerate the timing of payment thereunder, the term “Corporate Transaction” shall mean an event that is both (x) a Corporate Transaction (as defined above) and (y) a change in the ownership or effective control of the Company, or in the ownership of a substantial portion of the assets of the Company, as defined in Section 409A of the Code and authoritative guidance thereunder, but only to the extent necessary to comply with Section 409A of the Code as determined by the Company.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shall mean that the Holder qualifies to receive long-term disability payments under the Service Recipient’s long-term disability insurance program, as it may be amended from time to time, to which the Holder provides services regardless of whether the Holder is covered by such policy. If the Service Recipient to which a Holder provides service does not have a long-term disability plan in place, “Disability” shall mean that the Holder is unable to carry out the responsibilities and functions of the position held by the Holder by reason of any medically determinable physical or mental impairment for a period of not less than ninety (90) consecutive days. A Holder will not be considered to have incurred a Disability unless he or she furnishes proof of such impairment sufficient to satisfy the Committee in its discretion.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as determined by the Committee, provided that such person (i) has not been sentenced to imprisonment or re-education through labor; (ii) has not been subjected to administrative penalties for major violations of law within the last 36 months; (iii) does not have a case filed or investigated by judicial or administrative department which has not yet been concluded; and (iv) has not violated the employment agreement or employee code of conduct within the last 36 months.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who is in the employ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9" w:name="page480"/>
    <w:bookmarkEnd w:id="479"/>
    <w:p>
      <w:pPr>
        <w:ind w:left="66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date, the value of Shares determined as follows: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If the Shares are listed on one or more established and regulated securities exchanges, national market systems or automated quotation system on which Shares are listed, quoted or traded,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the Shares are not listed on an established securities exchange, national market system or automated quotation system, but are regularly quoted by a recognized securities dealer, its Fair Market Value shall be the closing sales price for such shares as quoted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such other source as the Committee deems reliable;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or (iv) such other methodologies or information as the Committee determines to be indicative of Fair Market Value.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mean a person who has been granted an Award.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Incentive Option</w:t>
      </w:r>
      <w:r>
        <w:rPr>
          <w:rFonts w:ascii="Times New Roman" w:cs="Times New Roman" w:eastAsia="Times New Roman" w:hAnsi="Times New Roman"/>
          <w:sz w:val="18"/>
          <w:szCs w:val="18"/>
          <w:color w:val="auto"/>
        </w:rPr>
        <w:t>” shall mean an Option that is intended to meet the applicable provisions of Section 422 of the Code.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shall mean an Option that is not an Incentive Option.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shall mean a right to purchase Shares at a specified exercise price, granted under Article 5. An Option shall be either a Non-Qualified Option or an Incentive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Incentive Options may only be granted to Employees.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entity whether domestic or foreign, in an unbroken chain of entities ending with the Company, if each of the entities other than the first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this ESVF Esports Group Inc. 2021 Share Incentive Plan, as it may be amended or restated from time to time.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shall mean any business, corporation, partnership, limited liability company or other entity in which the Company, a Parent or Subsidiary of the Company holds a substantial economic interest, directly or indirectly, through ownership or contractual arrangements but which is not a Subsidiary and which the Board designates as a Related Entity for purposes of the Plan.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shall mean Shares awarded under Article 6 that is subject to certain restrictions and may be subject to risk of forfeiture or repurchase.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shall mean the right to receive Shares awarded under Section 7.1.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shall mean Rule 16b-3 promulgated under the Exchange Act.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0" w:name="page481"/>
    <w:bookmarkEnd w:id="48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shall mean the Company, any Parent or Subsidiary of the Company, or their consolidated variable interest entity and its subsidiary, to which an Eligible Individual provides services as an Employee.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shall mean a Class A ordinary share of the Company, and such other securities of the Company that may be substituted for Shares pursuant to Article 11.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upon the assumption of, or in substitution for, outstanding equity awards previously granted by a company or other entity in connection with a Corporate Transaction;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in no event shall the term “Substitute Award” be construed to refer to an award made in connection with the cancellation and repricing of an Option.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shall mean,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time when the employee-employer relationship between a Holder and the Service Recipient is terminated for any reason, with or without Cause, including, without limitation, a termination by resignation, discharge, death, Disability or retirement, but excluding terminations where the Holder simultaneously commences or remains in employment or service with the Company, any Subsidiary or any Related Entity.</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Incentive Options and Awards subject to Section 409A of the Code, unless the Administrator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or 409A of the Code and the then applicable regulations and revenue rulings under said Sections. For purposes of the Plan and subject to the requirements of Section 409A of the Code, a Holder’s employee-employer relationship shall be deemed to be terminated in the event that the Subsidiary or Related Entity employing or contracting with such Holder ceases to remain a Subsidiary or Related Entity following any merger, sale of securities or other corporate transaction or event (including, without limitation, a spin-off).</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shall mean the closing of the first sale to the general public of the Shares pursuant to an effective registration statement under Applicable Laws, which results in the Shares being publicly traded on one or more established stock exchanges or national market systems.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1" w:name="page482"/>
    <w:bookmarkEnd w:id="481"/>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Subject to Section 3.1(b) and Section 11.1, the aggregate number of Shares which may be issued or transferred pursuant to Awards under the Plan is the sum of (i) 4,123,826 and (ii) such increase as deemed appropriate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number of Shares initially reserved and subsequently increased during the term of the Plan shall not be more than 7.5952% of the total number of Shares issued and outstanding on each [month and day] immediately preceding the most recent increase.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To the extent that an Award terminates, expires, or lapses for any reason, or is settled in cash and not Shares, then any Shares subject to the Award shall again be available for the grant of an Award pursuant to the Plan. Shares delivered by the Holder or withheld by the Company upon the exercise of any Award under the Plan, in payment of the exercise price thereof or tax withholding thereon, may again be optioned, granted or awarded hereunder, subject to the limitations of Section 3.1(a). If any Shares forfeited by the Holder or repurchased by the Company are again returned to the Company, these shares may again be optioned, granted or awarded hereunder, subject to the limitations of Section 3.1(a). To the extent permitted by Applicable Laws, Shares issued in assumption of, or in substitution for, any outstanding awards of any entity acquired in any form of combination by the Company, any Parent or any Subsidiary or Related Entity shall not be counted against Shares available for grant pursuant to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assumed or substituted awards issued in connection with the assumption of, or in substitution for, any outstanding options intended to qualify as “incentive stock options” within the meaning of Section 422 of the Code shall be counted against the aggregate number of Shares available for Awards of Incentive Options under the Plan. Notwithstanding the provisions of this Section 3.1(b), no Shares may again be optioned, granted or awarded if such action would cause an Incentive Option to fail to qualify as an incentive stock option under Section 422 of the Code.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limitations of Section 3.1 shall be adjusted to reflect the distribution of American Depository Shares in lieu of 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 and the granting of an Award in one year shall not be deemed the right to receive a grant of an Award in any subsequent year.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Award Agreement</w:t>
      </w:r>
      <w:r>
        <w:rPr>
          <w:rFonts w:ascii="Times New Roman" w:cs="Times New Roman" w:eastAsia="Times New Roman" w:hAnsi="Times New Roman"/>
          <w:sz w:val="18"/>
          <w:szCs w:val="18"/>
          <w:color w:val="auto"/>
        </w:rPr>
        <w:t>. Each Award shall be evidenced by an Award Agreement. Award Agreements evidencing Incentive Options shall contain such terms and conditions as may be necessary to meet the applicable provisions of Section 422 of the Code.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Jurisdictions</w:t>
      </w:r>
      <w:r>
        <w:rPr>
          <w:rFonts w:ascii="Times New Roman" w:cs="Times New Roman" w:eastAsia="Times New Roman" w:hAnsi="Times New Roman"/>
          <w:sz w:val="18"/>
          <w:szCs w:val="18"/>
          <w:color w:val="auto"/>
        </w:rPr>
        <w:t xml:space="preserve">. Notwithstanding any provision of the Plan to the contrary, in order to comply with the laws in the jurisdictions in which the Service Recipients operate or have Eligible Individuals, or in order to comply with the requirements of any securities exchange, the Administrator, in its sole discretion, shall have the power and authority to: (a) determine which Subsidiaries and Related Entities shall be covered by the Plan; (b) determine which Eligible Individuals are eligible to participate in the Plan; (c) modify the terms and conditions of any Award granted to Eligible Individuals to comply with Applicable Laws;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subplans and/or modifications shall increase the share limitations contained in Section 3.1; and (e) take any action, before or after an Award is made, that it deems advisable to obtain approval or comply with any Applicable Laws including necessary local governmental regulatory exemptions or approvals or listing requirements of any such securities exchange. Notwithstanding the foregoing, the Administrator may not take any actions hereunder, and no Awards shall be granted, that would violate any Applicable Laws.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Stand-Alone and Tandem Awards</w:t>
      </w:r>
      <w:r>
        <w:rPr>
          <w:rFonts w:ascii="Times New Roman" w:cs="Times New Roman" w:eastAsia="Times New Roman" w:hAnsi="Times New Roman"/>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2" w:name="page483"/>
    <w:bookmarkEnd w:id="482"/>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Committee is authorized to grant Options to Eligible Individuals on the following terms and conditions: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xml:space="preserve">. The exercise price per Share subject to an Option shall be determined by the Administrator and set forth in the Award Agreement which may be a fixed or variable price related to the Fair Market Value of the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may be granted to an individual subject to taxation in the United States at less than the Fair Market Value on the date of grant, without compliance with Section 409A of the Code, or the Holder’s consent. The exercise price per Share subject to an Option may be amended or adjusted in the absolute discretion of the Administrator, the determination of which shall be final, binding and conclusive. For the avoidance of doubt, to the extent not prohibited by Applicable Laws (including any applicable exchange rule and Section 409A of the Code), a downward adjustment of the exercise prices of Options mentioned in the preceding sentence shall be effective without the approval of the Company’s shareholders or the approval of the affected Holders.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Vesting</w:t>
      </w:r>
      <w:r>
        <w:rPr>
          <w:rFonts w:ascii="Times New Roman" w:cs="Times New Roman" w:eastAsia="Times New Roman" w:hAnsi="Times New Roman"/>
          <w:sz w:val="18"/>
          <w:szCs w:val="18"/>
          <w:color w:val="auto"/>
        </w:rPr>
        <w:t>.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Service Recipient or any other criteria selected by the Administrator. At any time after grant of an Option, the Administrator may, in its sole discretion and subject to whatever terms and conditions it selects, accelerate the period during which an Option vests. No portion of an Option which is unexercisable at a Holder’s Termination of Service shall thereafter become exercisable, except as may be otherwise provided by the Administrator either in the Award Agreement or by action of the Administrator following the grant of the Option.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Time and Conditions of Exercise</w:t>
      </w:r>
      <w:r>
        <w:rPr>
          <w:rFonts w:ascii="Times New Roman" w:cs="Times New Roman" w:eastAsia="Times New Roman" w:hAnsi="Times New Roman"/>
          <w:sz w:val="18"/>
          <w:szCs w:val="18"/>
          <w:color w:val="auto"/>
        </w:rPr>
        <w:t>. The Administrator shall determine the time or times at which an Option may be exercised in whole or in part, including exercise prior to vesting and that a partial exercise must be with respect to a minimum number of shares. The Administrator shall also determine any conditions, if any, that must be satisfied before all or part of an Option may be exercised.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Partial Exercise</w:t>
      </w:r>
      <w:r>
        <w:rPr>
          <w:rFonts w:ascii="Times New Roman" w:cs="Times New Roman" w:eastAsia="Times New Roman" w:hAnsi="Times New Roman"/>
          <w:sz w:val="18"/>
          <w:szCs w:val="18"/>
          <w:color w:val="auto"/>
        </w:rPr>
        <w:t>. An exercisable Option may be exercised in whole or in part. However, an Option shall not be exercisable with respect to fractional shares and the Administrator may, in its discretion, require that, by the terms of the Option, a partial exercise must be with respect to a minimum number of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Manner of Exercise</w:t>
      </w:r>
      <w:r>
        <w:rPr>
          <w:rFonts w:ascii="Times New Roman" w:cs="Times New Roman" w:eastAsia="Times New Roman" w:hAnsi="Times New Roman"/>
          <w:sz w:val="17"/>
          <w:szCs w:val="17"/>
          <w:color w:val="auto"/>
        </w:rPr>
        <w:t>. All or a portion of an exercisable Option shall be deemed exercised upon delivery of all of the following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the Company, or such other person or entity designated by the Administrator, or his, her or its office, as applicable:</w:t>
      </w:r>
    </w:p>
    <w:p>
      <w:pPr>
        <w:spacing w:after="0" w:line="207" w:lineRule="exact"/>
        <w:rPr>
          <w:sz w:val="20"/>
          <w:szCs w:val="20"/>
          <w:color w:val="auto"/>
        </w:rPr>
      </w:pPr>
    </w:p>
    <w:p>
      <w:pPr>
        <w:jc w:val="both"/>
        <w:ind w:firstLine="1944"/>
        <w:spacing w:after="0" w:line="312" w:lineRule="auto"/>
        <w:rPr>
          <w:sz w:val="20"/>
          <w:szCs w:val="20"/>
          <w:color w:val="auto"/>
        </w:rPr>
      </w:pPr>
      <w:r>
        <w:rPr>
          <w:rFonts w:ascii="Times New Roman" w:cs="Times New Roman" w:eastAsia="Times New Roman" w:hAnsi="Times New Roman"/>
          <w:sz w:val="17"/>
          <w:szCs w:val="17"/>
          <w:color w:val="auto"/>
        </w:rPr>
        <w:t>(i)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4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Such representations and documents as the Administrator, in its sole discretion, deems necessary or advisable to effect compliance with all Applicable Laws or regulations, and the rules of any securities exchange or automated quotation system on which the Shares are listed, quoted or traded.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In the event that the Option shall be exercised pursuant to Section 8.3 by any person or persons other than the Holder, appropriate proof of the right of such person or persons to exercise the Option, as determined in the sole discretion of the Administrator;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Full payment of the exercise price and applicable withholding taxes to the share administrator of the Company for the Shares with respect to which the Option, or portion thereof, is exercised, in a manner permitted by Sections 9.1 and 9.2.</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term of any Option granted under the Plan shall not exceed ten years. Except as limited by the requirements of Section 409A or Section 422 of the Code and regulations and rulings thereunder, in its sole discretion, the Administrator may extend the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3" w:name="page484"/>
    <w:bookmarkEnd w:id="483"/>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Evidence of Grant</w:t>
      </w:r>
      <w:r>
        <w:rPr>
          <w:rFonts w:ascii="Times New Roman" w:cs="Times New Roman" w:eastAsia="Times New Roman" w:hAnsi="Times New Roman"/>
          <w:sz w:val="18"/>
          <w:szCs w:val="18"/>
          <w:color w:val="auto"/>
        </w:rPr>
        <w:t>. All Options shall be evidenced by an Award Agreement between the Company and the Holder. The Award Agreement shall include such additional provisions as may be specified by the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Incentive Options</w:t>
      </w:r>
      <w:r>
        <w:rPr>
          <w:rFonts w:ascii="Times New Roman" w:cs="Times New Roman" w:eastAsia="Times New Roman" w:hAnsi="Times New Roman"/>
          <w:sz w:val="18"/>
          <w:szCs w:val="18"/>
          <w:color w:val="auto"/>
        </w:rPr>
        <w:t>. Incentive Options may be granted to Employees of the Company, a Parent or Subsidiary of the Company (which qualify as a parent or subsidiary corporation under Sections 424(e) and (f) of the Code respectively). Incentive Options may not be granted to Employees of a Related Entity. The terms of any Incentive Options granted pursuant to the Plan, in addition to the requirements of Section 5.1, must comply with the following additional provisions of this Section 5.2:</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Expiration of Option</w:t>
      </w:r>
      <w:r>
        <w:rPr>
          <w:rFonts w:ascii="Times New Roman" w:cs="Times New Roman" w:eastAsia="Times New Roman" w:hAnsi="Times New Roman"/>
          <w:sz w:val="18"/>
          <w:szCs w:val="18"/>
          <w:color w:val="auto"/>
        </w:rPr>
        <w:t>. An Incentive Option may not be exercised to any extent by anyone after the first to occur of the following events, unless otherwise approved by the Administrator in a separate resolution: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Ten years from the date it is granted, unless an earlier time is set in the Award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Three months after the Holder’s Termination of Service as an Employee (save in the case of termination on account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Disability or death); and</w:t>
      </w:r>
    </w:p>
    <w:p>
      <w:pPr>
        <w:spacing w:after="0" w:line="20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One year after the date of the Holder’s Termination of Service on account of disability or death. Upon the Holder’s Disability or death, any Incentive Options exercisable at the Holder’s Disability or death may be exercised by the Holder’s legal representative or representatives, by the person or persons entitled to do so pursuant to the Holder’s last will and testament, or, if the Holder fails to make testamentary disposition of such Incentive Option or dies intestate, by the person or persons entitled to receive the Incentive Option pursuant to the applicable laws of descent and distribution as determined under Applicable Laws.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Options are first exercisable by a Holder in any calendar year may not exceed US$100,000 or such other limitation as imposed by Section 422(d) of the Code, or any successor provision. To the extent that Incentive Options are first exercisable by a Holder in excess of such limitation, the excess shall be considered Non-Qualified Options.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Ten Percent Owners</w:t>
      </w:r>
      <w:r>
        <w:rPr>
          <w:rFonts w:ascii="Times New Roman" w:cs="Times New Roman" w:eastAsia="Times New Roman" w:hAnsi="Times New Roman"/>
          <w:sz w:val="18"/>
          <w:szCs w:val="18"/>
          <w:color w:val="auto"/>
        </w:rPr>
        <w:t>. An Incentive Option shall be granted to any Eligible Individual who, at the date of grant, owns Shares possessing more than ten percent of the total combined voting power of all classes of shares of the Company only if such Option is granted at a price that is not less than 110% of Fair Market Value on the date of grant and the Option is exercisable for no more than five years from the date of grant.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Transfer Restriction</w:t>
      </w:r>
      <w:r>
        <w:rPr>
          <w:rFonts w:ascii="Times New Roman" w:cs="Times New Roman" w:eastAsia="Times New Roman" w:hAnsi="Times New Roman"/>
          <w:sz w:val="18"/>
          <w:szCs w:val="18"/>
          <w:color w:val="auto"/>
        </w:rPr>
        <w:t>. Unless otherwise approved by the Administrator, the Holder shall give the Company prompt notice of any disposition of Shares acquired by exercise of an Incentive Option within (i) two years from the date of grant of such Incentive Option or (ii) one year after the transfer of such Shares to the Holder.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Expiration of Incentive Options</w:t>
      </w:r>
      <w:r>
        <w:rPr>
          <w:rFonts w:ascii="Times New Roman" w:cs="Times New Roman" w:eastAsia="Times New Roman" w:hAnsi="Times New Roman"/>
          <w:sz w:val="18"/>
          <w:szCs w:val="18"/>
          <w:color w:val="auto"/>
        </w:rPr>
        <w:t>. No Award of an Incentive Option may be made pursuant to this Plan after the tenth anniversary of the Effective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Right to Exercise</w:t>
      </w:r>
      <w:r>
        <w:rPr>
          <w:rFonts w:ascii="Times New Roman" w:cs="Times New Roman" w:eastAsia="Times New Roman" w:hAnsi="Times New Roman"/>
          <w:sz w:val="18"/>
          <w:szCs w:val="18"/>
          <w:color w:val="auto"/>
        </w:rPr>
        <w:t>. During a Holder’s lifetime, an Incentive Option may be exercised only by the Holder.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Substitute Awards</w:t>
      </w:r>
      <w:r>
        <w:rPr>
          <w:rFonts w:ascii="Times New Roman" w:cs="Times New Roman" w:eastAsia="Times New Roman" w:hAnsi="Times New Roman"/>
          <w:sz w:val="18"/>
          <w:szCs w:val="18"/>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4" w:name="page485"/>
    <w:bookmarkEnd w:id="484"/>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SHARES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Award of Restricted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Administrator is authorized to grant Restricted Shares to Eligible Individuals, and shall determine the amount of, and the terms and conditions, including the restrictions applicable to each award of Restricted Shares, which terms and conditions shall not be inconsistent with the Plan, and may impose such conditions on the issuance of such Restricted Shares as it deems appropriate.</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(b)           The Administrator shall establish the purchase price, if any, and form of payment for Restricted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purchase price shall be no less than the par value of the Shares to be purchased, unless otherwise permitted by Applicable Laws. In all cases, legal consideration shall be required for each issuance of Restricted Shares.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Rights as Shareholders</w:t>
      </w:r>
      <w:r>
        <w:rPr>
          <w:rFonts w:ascii="Times New Roman" w:cs="Times New Roman" w:eastAsia="Times New Roman" w:hAnsi="Times New Roman"/>
          <w:sz w:val="18"/>
          <w:szCs w:val="18"/>
          <w:color w:val="auto"/>
        </w:rPr>
        <w:t xml:space="preserve">. Subject to Section 6.4, upon issuance of Restricted Shares, the Holder shall have, unless otherwise provided by the Administrator, all the rights of a shareholder with respect to said shares, subject to the restrictions in his or her Award Agreement, including the right to receive all dividends and other distributions paid or made with respect to the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dividends shall be withheld by the Company for the Holder’s account and shall be subject to vesting and forfeiture to the same degree as the Restricted Shares to which such dividends relate and (ii) in the sole discretion of the Administrator, any extraordinary distributions with respect to the Shares shall be subject to the restrictions set forth in Section 6.3.</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All Restricted Shares (including any shares received by Holders thereof with respect to Restricted Shares as a result of share dividends, share splits or any other form of recapitalization) shall, in the terms of each individual Award Agreement, be subject to such restrictions and vesting requirements as the Administrator, in its sole discretion,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or directorship with the Service Recipient, or other criteria selected by the Administrator. By action taken after the Restricted Shares are issued, the Administrator may, on such terms and conditions as it may determine to be appropriate, accelerate the vesting of such Restricted Shares by removing any or all of the restrictions imposed by the terms of the Award Agreement. Restricted Shares may not be sold or encumbered until all restrictions are terminated or expire.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Repurchase or Forfeiture of Restricted Shares</w:t>
      </w:r>
      <w:r>
        <w:rPr>
          <w:rFonts w:ascii="Times New Roman" w:cs="Times New Roman" w:eastAsia="Times New Roman" w:hAnsi="Times New Roman"/>
          <w:sz w:val="18"/>
          <w:szCs w:val="18"/>
          <w:color w:val="auto"/>
        </w:rPr>
        <w:t>. If no price was paid by the Holder for the Restricted Shares, upon a Termination of Service the Holder’s rights in unvested Restricted Shares then subject to restrictions shall lapse, and such Restricted Shares shall be surrendered to the Company and cancelled without consideration. If a purchase price was paid by the Holder for the Restricted Shares, upon a Termination of Service the Company shall have the right to repurchase from the Holder the unvested Restricted Shares then subject to restrictions at a cash price per share equal to the price paid by the Holder for such Restricted Shares or such other amount as may be specified in the Award Agreement. The Administrator in its sole discretion may provide that in the event of certain events the Holder’s rights in unvested Restricted Shares shall not lapse, such Restricted Shares shall vest and shall be non-forfeitable, and if applicable, the Company shall not have a right of repurchase.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Certificates for Restricted Shares</w:t>
      </w:r>
      <w:r>
        <w:rPr>
          <w:rFonts w:ascii="Times New Roman" w:cs="Times New Roman" w:eastAsia="Times New Roman" w:hAnsi="Times New Roman"/>
          <w:sz w:val="18"/>
          <w:szCs w:val="18"/>
          <w:color w:val="auto"/>
        </w:rPr>
        <w:t>. Restricted Shares granted pursuant to the Plan may be evidenced in such manner as the Administrator shall determine. Certificates or book entries evidencing Restricted Shares must include an appropriate legend referring to the terms, conditions, and restrictions applicable to such Restricted Shares, and the Company may, in its sole discretion, retain physical possession of any share certificate until such time as all applicable restrictions lapse.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5" w:name="page486"/>
    <w:bookmarkEnd w:id="485"/>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Restricted Share Units</w:t>
      </w:r>
      <w:r>
        <w:rPr>
          <w:rFonts w:ascii="Times New Roman" w:cs="Times New Roman" w:eastAsia="Times New Roman" w:hAnsi="Times New Roman"/>
          <w:sz w:val="18"/>
          <w:szCs w:val="18"/>
          <w:color w:val="auto"/>
        </w:rPr>
        <w:t>. The Administrator is authorized to grant Restricted Share Units to any Eligible Individual. The number and terms and conditions of Restricted Share Units shall be determined by the Administrator. The Administrator shall specify the date or dates on which the Restricted Share Units shall become fully vested and nonforfeitable, and may specify such conditions to vesting as it deems appropriate, including service to the Service Recipients, in each case on a specified date or dates or over any period or periods, as the Administrator determines. The Administrator shall specify, or permit the Holder to elect, the conditions and dates upon which the Shares underlying the Restricted Share Units which shall be issued, which dates shall not be earlier than the date as of which the Restricted Share Units vest and become nonforfeitable and which conditions and dates shall be subject to compliance with Section 409A of the Code, to the extent applicable to the Holder. Restricted Share Units may be paid in cash, Shares or both, as determined by the Administrator. On the distribution dates, the Company shall issue to the Holder one unrestricted, fully transferable Shares (or the Fair Market Value of one such Share in cash) for each vested and nonforfeitable Restricted Share Unit.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Exercise or Purchase Price</w:t>
      </w:r>
      <w:r>
        <w:rPr>
          <w:rFonts w:ascii="Times New Roman" w:cs="Times New Roman" w:eastAsia="Times New Roman" w:hAnsi="Times New Roman"/>
          <w:sz w:val="18"/>
          <w:szCs w:val="18"/>
          <w:color w:val="auto"/>
        </w:rPr>
        <w:t xml:space="preserve">. The Administrator may establish the exercise or purchase price of shares distributed pursuant to a Restricted Share Unit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value of the consideration shall not be less than the par value of the Shares underlying such Award, unless otherwise permitted by Applicable 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Exercise upon Termination of Service</w:t>
      </w:r>
      <w:r>
        <w:rPr>
          <w:rFonts w:ascii="Times New Roman" w:cs="Times New Roman" w:eastAsia="Times New Roman" w:hAnsi="Times New Roman"/>
          <w:sz w:val="18"/>
          <w:szCs w:val="18"/>
          <w:color w:val="auto"/>
        </w:rPr>
        <w:t>. A Restricted Share Unit award is exercisable or distributable only while the Holder is an Employee or Director, as applicable. The Administrator, however, in its sole discretion may provide that the Restricted Share Unit award may be exercised or distributed subsequent to a Termination of Service in certain events, subject to compliance with Section 409A of the Code, to the extent applicable to the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under Applicable Accounting Standards, in each case, having a Fair Market Value on the date of delivery equal to the aggregate payments required, (c) following the Trading Date, delivery of a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payment of such proceeds is then made to the Company upon settlement of such sale, or (d) other form of legal consideration acceptable to the Administrator in its sole discretion. The Administrator shall also determine the methods by which Shares shall be delivered or deemed to be delivered to Holders. Notwithstanding any other provision of the Plan to the contrary, no Holder shall be permitted to make payment with respect to any Awards granted under the Plan to the extent prohibited by Applicable Laws.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No Shares shall be delivered under the Plan to any Holder until such Holder has made arrangements acceptable to the Administrator for the satisfaction of any income, employment, social welfare or other tax withholding obligations under Applicable Laws. Each Service Recipient shall have the authority and the right to deduct or withhold, or require a Holder to remit to the applicable Service Recipient, an amount sufficient to satisfy federal, state, local and foreign taxes (including the Holder’s employment, social welfare or other tax obligations) required by Applicable Laws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up to the maximum expected aggregate amount of such liabilities based on the maximum statutory withholding rates for tax purposes that are applicable to such taxable income, provided that such withholding does not result in adverse tax or accounting consequences to the Company. The Administrator shall determine the Fair Market Value of the Shares, consistent with Applicable Laws, for tax withholding obligations due in connection with a broker-assisted cashless Option exercise involving the sale of shares to pay the Option exercise price or any tax withholding obligation.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6" w:name="page487"/>
    <w:bookmarkEnd w:id="486"/>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Except as otherwise provided in Section 8.3(b) or as agreed by the Administrator:</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No Award under the Plan may be sold, pledged, assigned or transferred in any manner other than by will or the laws of descent and distribution or, subject to the consent of the Administrator, as required under applicable domestic relations laws, unless and until such Award has been exercised, or the Shares underlying such Award have been issued, and all restrictions applicable to such Shares have lapsed;</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No Award or interest or right therein shall be liable for the debts, contracts or engagements of the Holder or his successors in interest or shall be subject to disposition by transfer, alienation, anticipation, pledge, hypothecation, encumbrance, assignment or any other means whether such disposition be voluntary or involuntary or by operation of Applicable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During the lifetime of the Holder, only the Holder may exercise an Award (or any portion thereof) granted to him under the Plan, unless it has been disposed of pursuant to applicable domestic relations law. After the death of the Holder, any exercisable portion of an Award may, prior to the time when such portion becomes unexercisable under the Plan or the applicable Award Agreement, be exercised by his personal representative or by any person empowered to do so under the deceased Holder’s will or under the then Applicable Laws of descent and distribution.</w:t>
      </w:r>
    </w:p>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(b)           Notwithstanding Section 8.3(a), the Administrator, in its sole discretion, may determine to permit a Holder to transfer an Award other than an Incentive Option to certain persons or entities related to the Holder, including but not limited to members of the Holder’s family, charitable institutions, or trusts or other entities whose beneficiaries or beneficial owners are members of the Holder’s family and/or charitable institutions, or to such other persons or entities as may be expressly approved by the Committee, pursuant to such conditions and procedures as the Administrator may establish, including the following conditions: (i) an Award transferred shall not be assignable or transferable other than by will or the laws of descent and distribution;</w:t>
      </w:r>
    </w:p>
    <w:p>
      <w:pPr>
        <w:spacing w:after="0" w:line="3" w:lineRule="exact"/>
        <w:rPr>
          <w:sz w:val="20"/>
          <w:szCs w:val="20"/>
          <w:color w:val="auto"/>
        </w:rPr>
      </w:pPr>
    </w:p>
    <w:p>
      <w:pPr>
        <w:jc w:val="both"/>
        <w:ind w:firstLine="8"/>
        <w:spacing w:after="0" w:line="253" w:lineRule="auto"/>
        <w:tabs>
          <w:tab w:leader="none" w:pos="267"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transferred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Laws and (C) evidence the transfer.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Notwithstanding Section 8.3(a),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Award Agreement applicable to the Holder, except to the extent the Plan and Award Agreement otherwise provide, and to any additional restrictions deemed necessary or appropriate by the Administrator. If the Holder is married and resides in a community property jurisdiction, a designation of a person other than the Holder’s spouse as his or her beneficiary with respect to more than 50% (or such other percentage as specified under Applicable Law)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the change or revocation is filed with the Administrator prior to the Holder’s death.</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Conditions to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Notwithstanding anything herein to the contrary, the Company shall not be required to issue or deliver any certificates or make any book entries evidencing Shares pursuant to the exercise of any Award, unless and until the Board has determined, with advice of counsel, that the issuance of such Shares is in compliance with all Applicable Laws and the Shares are covered by an effective registration statement or applicable exemption from registration. In addition to the terms and conditions provided herein, the Board or Committee may require that a Holder make such reasonable covenants, agreements, and representations as the Board or Committee, in its discretion, deems advisable in order to comply with any such laws, regulations, or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7" w:name="page488"/>
    <w:bookmarkEnd w:id="48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all Applicable Laws. The Administrator may place legends on any Shares certificate or book entry to reference restrictions applicable to the Shares.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 fractional Shares shall be issued and the Administrator shall determine, in its sole discretion, whether cash shall be given in lieu of fractional shares or whether such fractional shares shall be eliminated by rounding down.</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           Notwithstanding any other provision of the Plan, unless otherwise determined by the Administrator or required by any Applicable Laws, the Company shall not deliver to any Holder certificates evidencing Shares issued in connection with any Award and instead such Shares shall be recorded in the books of the Company (or, as applicable, the Administrator or the transfer agent of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Forfeiture Provisions</w:t>
      </w:r>
      <w:r>
        <w:rPr>
          <w:rFonts w:ascii="Times New Roman" w:cs="Times New Roman" w:eastAsia="Times New Roman" w:hAnsi="Times New Roman"/>
          <w:sz w:val="18"/>
          <w:szCs w:val="18"/>
          <w:color w:val="auto"/>
        </w:rPr>
        <w:t>. Pursuant to its general authority to determine the terms and conditions applicable to Awards under the Plan, the Administrator shall have the right to provide, in the terms of Award Agreement made under the Plan, or to require a Holder to agree by separate written instrument, that: (a)(i)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or (ii) the Holder at any time, or during a specified time period, engages in any activity in competition with the Company, or which is inimical, contrary or harmful to the interests of the Company, as determined by the Administrator in its discretion, or (iii) the Holder incurs a Termination of Service for Cause.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Applicable Currency</w:t>
      </w:r>
      <w:r>
        <w:rPr>
          <w:rFonts w:ascii="Times New Roman" w:cs="Times New Roman" w:eastAsia="Times New Roman" w:hAnsi="Times New Roman"/>
          <w:sz w:val="18"/>
          <w:szCs w:val="18"/>
          <w:color w:val="auto"/>
        </w:rPr>
        <w:t>. Unless otherwise required by Applicable Laws, or as determined in the discretion of the Administrator, all Awards shall be designated in U.S. dollars. A Holder may be required to provide evidence that any currency used to pay the exercise price of any Award were acquired and taken out of the jurisdiction in which the Holder resides in accordance with Applicable Laws, including foreign exchange control laws and regulations. In the event the exercise price for an Award is paid in Chinese Renminbi or another foreign currency, as permitted by the Administrator, the amount payable will be determined by conversion from U.S. dollars at the official rate promulgated by the People’s Bank of China for Chinese Renminbi, or for jurisdictions other than the Peoples Republic of China, the exchange rate as selected by the Administrator on the date of exercise.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Administrator</w:t>
      </w:r>
      <w:r>
        <w:rPr>
          <w:rFonts w:ascii="Times New Roman" w:cs="Times New Roman" w:eastAsia="Times New Roman" w:hAnsi="Times New Roman"/>
          <w:sz w:val="18"/>
          <w:szCs w:val="18"/>
          <w:color w:val="auto"/>
        </w:rPr>
        <w:t>. The Plan shall be administered by the Committee to whom the Board shall delegate the authority to grant or amend Awards to Holders other than members of the Committee and independent directors of the Company.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members of the Committee and independent directors of the Company and for purposes of such Awards, the term “Committee” as used in the Plan shall be deemed to refer to the Board. The Committee may further delegate, to the extent permitted by applicable law, to one or more officers of the Company, its powers under this Plan (a) to designate officers or employees of the Company and its Subsidiaries who will receive grants of Awards under this Plan, and (b) to determine the number of shares subject to, and the other terms and conditions of, such Awards, in each case within the limits established by the Board or the Committee.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Duties and Powers of Committee</w:t>
      </w:r>
      <w:r>
        <w:rPr>
          <w:rFonts w:ascii="Times New Roman" w:cs="Times New Roman" w:eastAsia="Times New Roman" w:hAnsi="Times New Roman"/>
          <w:sz w:val="18"/>
          <w:szCs w:val="18"/>
          <w:color w:val="auto"/>
        </w:rPr>
        <w:t xml:space="preserve">. It shall be the duty of the Committee to conduct the general administration of the Plan in accordance with its provisions. The Committee shall have the power to interpret the Plan and the Award Agreement, and to adopt such rules for the administration, interpretation and application of the Plan as are not inconsistent therewith, to interpret, amend or revoke any such rules and to amend any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Award Agreement are not affected adversely by such amendment, unless the consent of the Holder is obtained or such amendment is otherwise permitted under Section 10.10. Any such grant or award under the Plan need not be the same with respect to each Holder. Any such interpretations and rules with respect to Incentive Options shall be consistent with the provisions of Section 422 of the Code. In its sole discretion, the Board may at any time and from time to time exercise any and all rights and duties of the Committee under the Plan except with respect to matters which under Applicable Laws are required to be determined in the sole discretion of the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8" w:name="page489"/>
    <w:bookmarkEnd w:id="4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Action by the Committee</w:t>
      </w:r>
      <w:r>
        <w:rPr>
          <w:rFonts w:ascii="Times New Roman" w:cs="Times New Roman" w:eastAsia="Times New Roman" w:hAnsi="Times New Roman"/>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a Service Recipient, the Company’s independent certified public accountants, or any executive compensation consultant or other professional retained by the Company to assist in the administration of the Plan.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Authority of Administrator</w:t>
      </w:r>
      <w:r>
        <w:rPr>
          <w:rFonts w:ascii="Times New Roman" w:cs="Times New Roman" w:eastAsia="Times New Roman" w:hAnsi="Times New Roman"/>
          <w:sz w:val="18"/>
          <w:szCs w:val="18"/>
          <w:color w:val="auto"/>
        </w:rPr>
        <w:t>. Subject to any specific designation in the Plan and the requirements of Applicable Laws, the Administrator has the exclusive power, authority and sole discretion to:</w:t>
      </w:r>
    </w:p>
    <w:p>
      <w:pPr>
        <w:spacing w:after="0" w:line="162" w:lineRule="exact"/>
        <w:rPr>
          <w:sz w:val="20"/>
          <w:szCs w:val="20"/>
          <w:color w:val="auto"/>
        </w:rPr>
      </w:pPr>
    </w:p>
    <w:p>
      <w:pPr>
        <w:ind w:left="1960" w:hanging="656"/>
        <w:spacing w:after="0"/>
        <w:tabs>
          <w:tab w:leader="none" w:pos="19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Eligible Individuals to receive Awards;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Eligible Individual;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date of grant, the exercise price, grant price, or purchase price, any reload provision,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Holder;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 including without limitation, cancel or redeem an outstanding Award (including but not limited to an outstanding Option with an exercise price exceeding the Fair Market Value of the underlying Shares), in exchange for cash, another Award or a combination of Awards, on terms and conditions the Administrator determines and communicates to the Holder of such outstanding Award;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Establish, adopt, or revise any rules and regulations as it may deem necessary or advisable to administer the Plan, including the establishment of any “blackout period”;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Interpret the terms of, and any matter arising pursuant to, the Plan or any Award Agreement;</w:t>
      </w:r>
    </w:p>
    <w:p>
      <w:pPr>
        <w:spacing w:after="0" w:line="225" w:lineRule="exact"/>
        <w:rPr>
          <w:sz w:val="20"/>
          <w:szCs w:val="20"/>
          <w:color w:val="auto"/>
        </w:rPr>
      </w:pPr>
    </w:p>
    <w:p>
      <w:pPr>
        <w:ind w:left="1960" w:hanging="656"/>
        <w:spacing w:after="0"/>
        <w:tabs>
          <w:tab w:leader="none" w:pos="196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exercise price per Share subject to an Option;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trusts for the purpose of managing the Plan;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9" w:name="page490"/>
    <w:bookmarkEnd w:id="48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           Make all other decisions and determinations that may be required pursuant to the Plan or as the Administrator deems necessary or advisable to administer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Decisions Binding</w:t>
      </w:r>
      <w:r>
        <w:rPr>
          <w:rFonts w:ascii="Times New Roman" w:cs="Times New Roman" w:eastAsia="Times New Roman" w:hAnsi="Times New Roman"/>
          <w:sz w:val="18"/>
          <w:szCs w:val="18"/>
          <w:color w:val="auto"/>
        </w:rPr>
        <w:t>. The Administrator’s interpretation of the Plan, any Awards granted pursuant to the Plan, any Award Agreement and all decisions and determinations by the Administrator with respect to the Plan are final, binding, and conclusive on all parties.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This Plan shall become effective as of the date on which the Board adopts the Plan, if the Company seeks a home country practice exemption from shareholder approval pursuant to the relevant U.S. stock exchange rules applicable to foreign private issuers (the “Effective Date”). If the Board decides to submit the Plan or any amendment to the Plan to shareholder approval, the Plan or the amendment, as applicable, shall be approved by the shareholders at a meeting duly held in accordance with the applicable provisions of the Company’s Memorandum of Association and Articles of Association or unanimous written approval by all the shareholders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The Plan will expire on, and no Award may be granted pursuant to the Plan after December 31, 2023. Any Awards that are outstanding on December 31, 2023 shall remain in force according to the terms of the Plan and the applicable Award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xml:space="preserve">. At any time and from time to time, the Board may amend, suspend or terminate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to the extent necessary and desirable to comply with Applicable Laws,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in accordance with Section 3.1(a) and any adjustment as provided by Article 11), or (ii) permits the Administrator to extend the term of the Plan or the exercise period for an Option beyond ten years from the date of grant. Except as provided in the Plan or any Award Agreement, no amendment, suspension or termination of the Plan shall, without the consent of the Holder, impair any rights or obligations under any Award theretofore granted or awarded.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No Shareholders Rights</w:t>
      </w:r>
      <w:r>
        <w:rPr>
          <w:rFonts w:ascii="Times New Roman" w:cs="Times New Roman" w:eastAsia="Times New Roman" w:hAnsi="Times New Roman"/>
          <w:sz w:val="18"/>
          <w:szCs w:val="18"/>
          <w:color w:val="auto"/>
        </w:rPr>
        <w:t>. Except as otherwise provided herein, a Holder shall have none of the rights of a shareholder with respect to Shares covered by any Award until the Holder becomes the record owner of such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a Service Recipient. Nothing in the Plan shall be construed to limit the right of a Service Recipient: (a) to establish any other forms of incentives or compensation for Eligible Individuals,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securities or assets of any corporation, partnership, limited liability company, firm or association.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Laws (including but not limited to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Laws, the Plan and Awards granted or awarded hereunder shall be deemed amended to the extent necessary to conform to such Applicable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0" w:name="page491"/>
    <w:bookmarkEnd w:id="4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Titles and Headings, References to Sections of the Code or Exchange Act</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Cayman Islands without regard to conflicts of laws thereof.</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Notwithstanding the foregoing or anything elsewhere in the Plan or an Award Agreement to the contrary, if a Holder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Holder’s Termination of Service or, if earlier, the Participant’s death (or such other period as required to comply with Section 409A). The Company makes no representations or warranties as to an Award’s tax treatment under Section 409A of the Code or otherwise. No Service Recipient will have any obligation under this Section 11.10 or otherwise to avoid the taxes, penalties or interest under Section 409A of the Code with respect to any Award and will have no liability to any Holder or any other person if any Award, compensation or other benefits under the Plan are determined to constitute noncompliant “nonqualified deferred compensation” subject to taxes, penalties or interest under Section 409A of the Code.</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No Rights to Awards</w:t>
      </w:r>
      <w:r>
        <w:rPr>
          <w:rFonts w:ascii="Times New Roman" w:cs="Times New Roman" w:eastAsia="Times New Roman" w:hAnsi="Times New Roman"/>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Holder’s employment or services at any time, nor confer upon any Holder any right to continue in the employ or service of any Service Recipient.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Award Agreement shall give the Holder any rights that are greater than those of a general creditor of the Company, any Subsidiary or any Related Entity.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Articles of Association, as a matter of Applicable Law, or otherwise, or any power that the Company may have to indemnify them or hold them harmless.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1" w:name="page492"/>
    <w:bookmarkEnd w:id="4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any Service Recipient except to the extent otherwise expressly provided in writing in such other plan or an agreement thereunder.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expenses of administering the Plan shall be borne by the Service Recipients.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Claw-back Provisions</w:t>
      </w:r>
      <w:r>
        <w:rPr>
          <w:rFonts w:ascii="Times New Roman" w:cs="Times New Roman" w:eastAsia="Times New Roman" w:hAnsi="Times New Roman"/>
          <w:sz w:val="18"/>
          <w:szCs w:val="18"/>
          <w:color w:val="auto"/>
        </w:rPr>
        <w:t>. All Awards (including any proceeds, gains or other economic benefit the Holder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  Section 16 Compliance</w:t>
      </w:r>
      <w:r>
        <w:rPr>
          <w:rFonts w:ascii="Times New Roman" w:cs="Times New Roman" w:eastAsia="Times New Roman" w:hAnsi="Times New Roman"/>
          <w:sz w:val="18"/>
          <w:szCs w:val="18"/>
          <w:color w:val="auto"/>
        </w:rPr>
        <w:t>. The provisions of this Plan are intended to ensure that no transaction under this Plan is subject to (and not exempt from) the short-swing recovery rules of Section 16(b) of the Exchange Act (“Section 16(b)”). Accordingly, the composition of the Committee shall be subject to such limitations as the Board deems appropriate to permit transactions pursuant to this Plan to be exempt (pursuant to Rule 16b-3) from Section 16(b), and no delegation of authority by the Committee shall be permitted if such delegation would cause any such transaction to be subject to (and not exempt from) Section 16(b).</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10.19     </w:t>
      </w:r>
      <w:r>
        <w:rPr>
          <w:rFonts w:ascii="Times New Roman" w:cs="Times New Roman" w:eastAsia="Times New Roman" w:hAnsi="Times New Roman"/>
          <w:sz w:val="18"/>
          <w:szCs w:val="18"/>
          <w:u w:val="single" w:color="auto"/>
          <w:color w:val="auto"/>
        </w:rPr>
        <w:t>  Subsidiary Employees</w:t>
      </w:r>
      <w:r>
        <w:rPr>
          <w:rFonts w:ascii="Times New Roman" w:cs="Times New Roman" w:eastAsia="Times New Roman" w:hAnsi="Times New Roman"/>
          <w:sz w:val="18"/>
          <w:szCs w:val="18"/>
          <w:color w:val="auto"/>
        </w:rPr>
        <w:t>.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cancelled shall revert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In the event of any distribution, share split, combination or exchange of Shares, amalgamation, arrangement or consolidation, reorganization of the Company, including the Company becoming a subsidiary in a transaction not involving a Corporate Transaction, spin-off, recapitalization or other distribution (other than normal cash dividends) of Company assets to its shareholders, or any other change affecting the Shares or the share price of a Share, the Administrator shall make such proportionate and equitable adjustments, if any, to reflect such change with respect to (a) the aggregate number and type of shares that may be issued under the Plan (including, but not limited to, adjustments of the limitations in Section 3.1 and substitutions of shares in a parent or surviving company); (b) the terms and conditions of any outstanding Awards (including, without limitation, any applicable performance targets or criteria with respect thereto); and (c) the grant or exercise price per Share for any outstanding Awards under the Plan. The form and manner of any such adjustments shall be determined by the Administrator in its sole discretion.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Holder, or as approved by the Administrator, if a Corporate Transaction occurs, all outstanding Awards shall be converted, assumed, or replaced by a successor as provided in Section 11.3. To the extent a Holder’s Awards are not converted, assumed, or replaced by a successor as provided in Section 11.3, such Awards shall vest and become fully exercisable and all forfeiture restrictions on such Awards shall lapse, unless otherwise provided in any Award Agreement or any other written agreement entered into by and between the Company and a Holder, or as approved by the Administrator. Upon, or in anticipation of, a Corporate Transaction, the Administrator may in its sole discretion provide for (a) any and all Awards outstanding hereunder to terminate at a specific time in the future and shall give each Holder the right to exercise such Awards during a period of time as the Administrator shall determine, (b) either the cancellation of any Award for an amount of cash, property, or a combination thereof with an aggregate value equal to the amount that could have been attained upon the exercise of such Award or realization of the Holder’s rights had such Award been currently exercisable or payable or fully vested (and, for the avoidance of doubt, (i) if as of such date the Committee determines in good faith that no amount would have been attained upon the exercise of such Award or realization of the Holder’s rights, then such Award may be terminated by the Company without payment and (ii) in the case of a Corporate Transaction with respect to which holders of Shares receive consideration other than publicly traded equity securities of the ultimate surviving entity, any such determination by the Administrator that the value of an Option shall for this purpose be deemed to equal the excess, if any, of the value of the consideration being paid for each Share pursuant to such Corporate Transaction over the exercise price of such Option shall conclusively be deemed valid)), or (c) the replacement of such Award with other rights or property selected by the Administrator in its sole discretion or the assumption of or substitution of such Award by the successor or surviving corporation, or a parent or subsidiary thereof, with appropriate adjustments as to the number and kind of Shares and exercise prices.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2" w:name="page493"/>
    <w:bookmarkEnd w:id="4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Assumption of Awards — Corporate Transactions</w:t>
      </w:r>
      <w:r>
        <w:rPr>
          <w:rFonts w:ascii="Times New Roman" w:cs="Times New Roman" w:eastAsia="Times New Roman" w:hAnsi="Times New Roman"/>
          <w:sz w:val="18"/>
          <w:szCs w:val="18"/>
          <w:color w:val="auto"/>
        </w:rPr>
        <w:t>. In the event of a Corporate Transaction, each Award may be assumed by the successor entity or Parent thereof in connection with the Corporate Transaction. Except as provided otherwise in an individual Award Agreement, an Award will be considered assumed if the Award either is (a) assumed by the successor entity or Parent thereof or replaced with a comparable award (as determined by the Administrator) with respect to capital shares (or equivalent) of the successor entity or Parent thereof or (b) replaced with a cash incentive program of the successor entity which preserves the compensation element of such Award existing at the time of the Corporate Transaction and provides for subsequent payout in accordance with the same vesting schedule applicable to such Award, with any performance targets deemed achieved at the greater of target and actual performance (as such performance targets are determined by the Administrator immediately prior to the Corporate Transaction). If an Award is assumed in a Corporate Transaction, then such Award, the replacement award or the cash incentive program automatically shall become fully vested, exercisable and payable and be released from any restrictions on transfer (other than transfer restrictions applicable to Options) and repurchase or forfeiture rights, immediately upon termination of the Holder’s employment or service with all Service Recipients within twelve (12) months of the Corporate Transaction without Cause.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Article 11, the Committee may, in its absolute discretion, make such adjustments in the number and class of shares subject to Awards outstanding on the date on which such change occurs and in the per share grant or exercise price of each Award as the Administrator may consider appropriate to prevent dilution or enlargement of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  No Other Rights</w:t>
      </w:r>
      <w:r>
        <w:rPr>
          <w:rFonts w:ascii="Times New Roman" w:cs="Times New Roman" w:eastAsia="Times New Roman" w:hAnsi="Times New Roman"/>
          <w:sz w:val="18"/>
          <w:szCs w:val="18"/>
          <w:color w:val="auto"/>
        </w:rPr>
        <w:t>. Except as expressly provided in the Plan, no Holder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Administrator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Notwithstanding anything in this Article 11 to the contrary: (i) any adjustments made pursuant to this Article 11 to Awards that constitute a “nonqualified deferred compensation plan” within the meaning of Section 409A of the Code shall be made in compliance with the requirements of Section 409A of the Code, and (ii) any adjustments made pursuant to this Article 11 to Awards that do not constitute a “nonqualified deferred compensation plan” subject to Section 409A of the Code shall be made in such a manner as to ensure that after such adjustment, the Awards either</w:t>
      </w:r>
    </w:p>
    <w:p>
      <w:pPr>
        <w:spacing w:after="0" w:line="3" w:lineRule="exact"/>
        <w:rPr>
          <w:sz w:val="20"/>
          <w:szCs w:val="20"/>
          <w:color w:val="auto"/>
        </w:rPr>
      </w:pPr>
    </w:p>
    <w:p>
      <w:pPr>
        <w:ind w:left="5540" w:right="2160" w:hanging="5532"/>
        <w:spacing w:after="0" w:line="761" w:lineRule="auto"/>
        <w:tabs>
          <w:tab w:leader="none" w:pos="309"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not to be subject to Section 409A of the Code or (B) comply with the requirements of Section 409A of the Code.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8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432"/>
        </w:trPr>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INDEMNIFICATION AGREEMENT</w:t>
            </w:r>
          </w:p>
        </w:tc>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684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This INDEMNIFICATION AGREEMENT (this “Agreement”) is made as of</w:t>
            </w: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and between NIP Group Inc., an exempted company</w:t>
            </w:r>
          </w:p>
        </w:tc>
      </w:tr>
      <w:tr>
        <w:trPr>
          <w:trHeight w:val="20"/>
        </w:trPr>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71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incorporated and existing under the laws of the Cayman Islands (the “Company”), and</w:t>
            </w:r>
          </w:p>
        </w:tc>
        <w:tc>
          <w:tcPr>
            <w:tcW w:w="4120" w:type="dxa"/>
            <w:vAlign w:val="bottom"/>
            <w:gridSpan w:val="2"/>
          </w:tcPr>
          <w:p>
            <w:pPr>
              <w:ind w:left="1540"/>
              <w:spacing w:after="0" w:line="196" w:lineRule="exact"/>
              <w:rPr>
                <w:sz w:val="20"/>
                <w:szCs w:val="20"/>
                <w:color w:val="auto"/>
              </w:rPr>
            </w:pPr>
            <w:r>
              <w:rPr>
                <w:rFonts w:ascii="Times New Roman" w:cs="Times New Roman" w:eastAsia="Times New Roman" w:hAnsi="Times New Roman"/>
                <w:sz w:val="18"/>
                <w:szCs w:val="18"/>
                <w:color w:val="auto"/>
              </w:rPr>
              <w:t>(Passport/PRC ID Card</w:t>
            </w:r>
          </w:p>
        </w:tc>
      </w:tr>
      <w:tr>
        <w:trPr>
          <w:trHeight w:val="196"/>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No.</w:t>
            </w:r>
          </w:p>
        </w:tc>
        <w:tc>
          <w:tcPr>
            <w:tcW w:w="1020" w:type="dxa"/>
            <w:vAlign w:val="bottom"/>
          </w:tcPr>
          <w:p>
            <w:pPr>
              <w:spacing w:after="0"/>
              <w:rPr>
                <w:sz w:val="17"/>
                <w:szCs w:val="17"/>
                <w:color w:val="auto"/>
              </w:rPr>
            </w:pPr>
          </w:p>
        </w:tc>
        <w:tc>
          <w:tcPr>
            <w:tcW w:w="3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 (the “Indemnitee”).</w:t>
            </w:r>
          </w:p>
        </w:tc>
        <w:tc>
          <w:tcPr>
            <w:tcW w:w="700" w:type="dxa"/>
            <w:vAlign w:val="bottom"/>
            <w:tcBorders>
              <w:top w:val="single" w:sz="8" w:color="auto"/>
            </w:tcBorders>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WHEREAS, the Indemnitee has agreed to serve as a director or officer of the Company and in such capacity will render valuable services to the Company; and</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WHEREAS, in order to induce and encourage highly experienced and capable persons such as the Indemnitee to render valuable services to the Company,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this Agreement is not only reasonable and prudent, but necessary to promote and ensure the best interests of the Company and its shareholders;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mutual agreements hereinafter set forth, and other good and valuable consideration, including, without limitation, the service of the Indemnitee, the receipt of which hereby is acknowledged, and in order to induce the Indemnitee to render valuable services the Company, the Company and the Indemnitee hereby agree as follows:</w:t>
      </w:r>
    </w:p>
    <w:p>
      <w:pPr>
        <w:spacing w:after="0" w:line="176" w:lineRule="exact"/>
        <w:rPr>
          <w:sz w:val="20"/>
          <w:szCs w:val="20"/>
          <w:color w:val="auto"/>
        </w:rPr>
      </w:pPr>
    </w:p>
    <w:p>
      <w:pPr>
        <w:ind w:left="840" w:hanging="184"/>
        <w:spacing w:after="0"/>
        <w:tabs>
          <w:tab w:leader="none" w:pos="840" w:val="left"/>
        </w:tabs>
        <w:numPr>
          <w:ilvl w:val="1"/>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Agreement:</w:t>
      </w:r>
    </w:p>
    <w:p>
      <w:pPr>
        <w:spacing w:after="0" w:line="225" w:lineRule="exact"/>
        <w:rPr>
          <w:rFonts w:ascii="Times New Roman" w:cs="Times New Roman" w:eastAsia="Times New Roman" w:hAnsi="Times New Roman"/>
          <w:sz w:val="18"/>
          <w:szCs w:val="18"/>
          <w:b w:val="1"/>
          <w:bCs w:val="1"/>
          <w:color w:val="auto"/>
        </w:rPr>
      </w:pPr>
    </w:p>
    <w:p>
      <w:pPr>
        <w:ind w:right="40" w:firstLine="980"/>
        <w:spacing w:after="0" w:line="267" w:lineRule="auto"/>
        <w:tabs>
          <w:tab w:leader="none" w:pos="1216" w:val="left"/>
        </w:tabs>
        <w:numPr>
          <w:ilvl w:val="2"/>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a change in control of the Company of a nature that would be required to be reported in response to Item 6(e) of Schedule 14A of Regulation 14A (or in response to any similar item on any similar or successor schedule or form) promulgated under the United States Securities Exchange Act of 1934, as amended, and the rules and regulations promulgated thereunder (collectively,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whether or not the Company is then subject to such reporting requirement; provided, however, that, without limitation, such a Change in Control shall be deemed to have occurred (irrespective of the applicability of the initial clause of this definition) if (i) any “person” (as such term is used in Sections 13(d) and 14(d) of the Act, but excluding any trustee or other fiduciary holding securities pursuant to an employee benefit or welfare plan or employee share plan of the Company or any subsidiary or affiliate of the Company, or any entity organized, appointed, established or holding securities of the Company with voting power for or pursuant to the terms of any such plan) becomes the “beneficial owner” (as defined in Rule 13d-3 under the Act), directly or indirectly, of securities of the Company representing 30% or more of the combined voting power of the Company’s then outstanding securities without the prior approval of at least two-thirds of the Continuing Directors (as defined below) in office immediately prior to such person’s attaining such interest; (ii) the Company is a party to a merger, consolidation, scheme of arrangement, sale of assets or other reorganization, or a proxy contest, as a consequence of which Continuing Directors in office immediately prior to such transaction or event constitute less than a majority of the Board of the Company (or any successor entity) thereafter; or</w:t>
      </w:r>
    </w:p>
    <w:p>
      <w:pPr>
        <w:ind w:firstLine="8"/>
        <w:spacing w:after="0" w:line="253" w:lineRule="auto"/>
        <w:tabs>
          <w:tab w:leader="none" w:pos="31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constituted the Board of the Company (including for this purpose any new director whose election or nomination for election by the Company’s shareholders was approved by a vote of at least two-thirds of the directors then still in office who were directors at the beginning of such period) (such directors being referred to herein as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Board of the Company.</w:t>
      </w:r>
    </w:p>
    <w:p>
      <w:pPr>
        <w:spacing w:after="0" w:line="188" w:lineRule="exact"/>
        <w:rPr>
          <w:rFonts w:ascii="Times New Roman" w:cs="Times New Roman" w:eastAsia="Times New Roman" w:hAnsi="Times New Roman"/>
          <w:sz w:val="18"/>
          <w:szCs w:val="18"/>
          <w:color w:val="auto"/>
        </w:rPr>
      </w:pPr>
    </w:p>
    <w:p>
      <w:pPr>
        <w:ind w:right="40" w:firstLine="980"/>
        <w:spacing w:after="0" w:line="266" w:lineRule="auto"/>
        <w:tabs>
          <w:tab w:leader="none" w:pos="1272" w:val="left"/>
        </w:tabs>
        <w:numPr>
          <w:ilvl w:val="2"/>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with respect to any request by the Indemnitee for indemnification or advancement of expenses hereunder shall mean a director of the Company who neither is nor was a party to the Proceeding (as defined below) in respect of which indemnification or advancement is being sought by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4" w:name="page495"/>
    <w:bookmarkEnd w:id="494"/>
    <w:p>
      <w:pPr>
        <w:ind w:left="-8" w:right="240" w:firstLine="980"/>
        <w:spacing w:after="0" w:line="254" w:lineRule="auto"/>
        <w:tabs>
          <w:tab w:leader="none" w:pos="1208"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mean, without limitation, expenses of Proceedings, including attorneys’ fees, disbursements and retainers, accounting and witness fees, expenses related to preparation for service as a witness and to service as a witness, travel and deposition costs, expenses of investigations, judicial or administrative proceedings and appeals, amounts paid in settlement of a Proceeding by or on behalf of the Indemnitee, costs of attachment or similar bonds, any expenses of attempting to establish or establishing a right to indemnification or advancement of expenses, under this Agreement, the Company’s Memorandum of Association and Articles of Association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applicable law or otherwise, and reasonable compensation for time spent by the Indemnitee in connection with the investigation, defense or appeal of a Proceeding or action for indemnification for which the Indemnitee is not otherwise compensated by the Company or any third party. The term “Expenses” shall not include the amount of judgments, fines, interest or penalties, or excise taxes assessed with respect to any employee benefit or welfare plan, which are actually levied against or sustained by the Indemnitee to the extent sustained after final adjudication.</w:t>
      </w:r>
    </w:p>
    <w:p>
      <w:pPr>
        <w:spacing w:after="0" w:line="188" w:lineRule="exact"/>
        <w:rPr>
          <w:rFonts w:ascii="Times New Roman" w:cs="Times New Roman" w:eastAsia="Times New Roman" w:hAnsi="Times New Roman"/>
          <w:sz w:val="18"/>
          <w:szCs w:val="18"/>
          <w:color w:val="auto"/>
        </w:rPr>
      </w:pPr>
    </w:p>
    <w:p>
      <w:pPr>
        <w:ind w:left="-8" w:right="60" w:firstLine="980"/>
        <w:spacing w:after="0" w:line="256" w:lineRule="auto"/>
        <w:tabs>
          <w:tab w:leader="none" w:pos="1219"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Independent Legal Counsel</w:t>
      </w:r>
      <w:r>
        <w:rPr>
          <w:rFonts w:ascii="Times New Roman" w:cs="Times New Roman" w:eastAsia="Times New Roman" w:hAnsi="Times New Roman"/>
          <w:sz w:val="18"/>
          <w:szCs w:val="18"/>
          <w:color w:val="auto"/>
        </w:rPr>
        <w:t>” shall mean any firm of attorneys reasonably selected by the Board of the Company, so long as such firm has not represented the Company, the Company’s subsidiaries or affiliates, the Indemnitee, any entity controlled by the Indemnitee, or any party adverse to the Company, within the preceding five (5) years. Notwithstanding the foregoing, the term “Independent Legal Counsel” shall not include any person who, under applicable standards of professional conduct then prevailing, would have a conflict of interest in representing either the Company or the Indemnitee in an action to determine the Indemnitee’s right to indemnification or advancement of expenses under this Agreement, the Company’s Articles, applicable law or otherwise.</w:t>
      </w:r>
    </w:p>
    <w:p>
      <w:pPr>
        <w:spacing w:after="0" w:line="187" w:lineRule="exact"/>
        <w:rPr>
          <w:rFonts w:ascii="Times New Roman" w:cs="Times New Roman" w:eastAsia="Times New Roman" w:hAnsi="Times New Roman"/>
          <w:sz w:val="18"/>
          <w:szCs w:val="18"/>
          <w:color w:val="auto"/>
        </w:rPr>
      </w:pPr>
    </w:p>
    <w:p>
      <w:pPr>
        <w:ind w:left="-8" w:right="20" w:firstLine="980"/>
        <w:spacing w:after="0" w:line="268" w:lineRule="auto"/>
        <w:tabs>
          <w:tab w:leader="none" w:pos="1208" w:val="left"/>
        </w:tabs>
        <w:numPr>
          <w:ilvl w:val="1"/>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shall mean any threatened, pending or completed action, suit, arbitration, alternate dispute resolution mechanism, or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by reason of (i) the fact that the Indemnitee is or was a director or officer of the Company, or is or was serving at the request of the Company as an agent of another enterprise, whether or not the Indemnitee is serving in such capacity at the time any liability or expense is incurred for which indemnification or reimbursement is to be provided under this Agreement,</w:t>
      </w:r>
    </w:p>
    <w:p>
      <w:pPr>
        <w:spacing w:after="0" w:line="4" w:lineRule="exact"/>
        <w:rPr>
          <w:rFonts w:ascii="Times New Roman" w:cs="Times New Roman" w:eastAsia="Times New Roman" w:hAnsi="Times New Roman"/>
          <w:sz w:val="17"/>
          <w:szCs w:val="17"/>
          <w:color w:val="auto"/>
        </w:rPr>
      </w:pPr>
    </w:p>
    <w:p>
      <w:pPr>
        <w:ind w:left="-8" w:right="500" w:firstLine="8"/>
        <w:spacing w:after="0" w:line="255" w:lineRule="auto"/>
        <w:tabs>
          <w:tab w:leader="none" w:pos="25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act or omission or neglect or breach of duty, including, without limitation, any actual or alleged error or misstatement or misleading statement, which the Indemnitee commits or suffers while acting in any such capacity, or (iii) the Indemnitee attempting to establish or establishing a right to indemnification or advancement of expenses pursuant to this Agreement, the Company’s Articles, applicable law or otherwise.</w:t>
      </w:r>
    </w:p>
    <w:p>
      <w:pPr>
        <w:spacing w:after="0" w:line="185" w:lineRule="exact"/>
        <w:rPr>
          <w:rFonts w:ascii="Times New Roman" w:cs="Times New Roman" w:eastAsia="Times New Roman" w:hAnsi="Times New Roman"/>
          <w:sz w:val="18"/>
          <w:szCs w:val="18"/>
          <w:color w:val="auto"/>
        </w:rPr>
      </w:pPr>
    </w:p>
    <w:p>
      <w:pPr>
        <w:ind w:left="-8" w:firstLine="980"/>
        <w:spacing w:after="0" w:line="254" w:lineRule="auto"/>
        <w:tabs>
          <w:tab w:leader="none" w:pos="1189"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u w:val="single" w:color="auto"/>
          <w:color w:val="auto"/>
        </w:rPr>
        <w:t>serving at the request of the Company as an agent of another enterprise</w:t>
      </w:r>
      <w:r>
        <w:rPr>
          <w:rFonts w:ascii="Times New Roman" w:cs="Times New Roman" w:eastAsia="Times New Roman" w:hAnsi="Times New Roman"/>
          <w:sz w:val="18"/>
          <w:szCs w:val="18"/>
          <w:color w:val="auto"/>
        </w:rPr>
        <w:t>”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director/an executive officer of the Company which imposes duties on, or involves services by, such director/executive officer with respect to the Company or any of the Company’s subsidiaries, affiliates, employee benefit or welfare plans, such plan’s participants or beneficiaries or any other enterprise, foreign or domestic. In the event that the Indemnitee shall be a director, officer, employee or agent of another corporation, 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Indemnitee is so acting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95" w:name="page496"/>
    <w:bookmarkEnd w:id="495"/>
    <w:p>
      <w:pPr>
        <w:ind w:left="-8" w:right="80" w:firstLine="332"/>
        <w:spacing w:after="0" w:line="261" w:lineRule="auto"/>
        <w:tabs>
          <w:tab w:leader="none" w:pos="496" w:val="left"/>
        </w:tabs>
        <w:numPr>
          <w:ilvl w:val="1"/>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Services by the Indemnitee</w:t>
      </w:r>
      <w:r>
        <w:rPr>
          <w:rFonts w:ascii="Times New Roman" w:cs="Times New Roman" w:eastAsia="Times New Roman" w:hAnsi="Times New Roman"/>
          <w:sz w:val="18"/>
          <w:szCs w:val="18"/>
          <w:color w:val="auto"/>
        </w:rPr>
        <w:t>. The Indemnitee agrees to serve as a director or officer of the Company under the terms of the Indemnitee’s agreement with the Company for so long as the Indemnitee is duly elected or appointed or until such time as the Indemnitee tenders a resignation in writing or is removed from the Indemnittee’s position; provided, however, that the Indemnitee may at any time and for any reason resign from such position (subject to any other contractual obligation or other obligation imposed by operation of law).</w:t>
      </w:r>
    </w:p>
    <w:p>
      <w:pPr>
        <w:spacing w:after="0" w:line="179" w:lineRule="exact"/>
        <w:rPr>
          <w:rFonts w:ascii="Times New Roman" w:cs="Times New Roman" w:eastAsia="Times New Roman" w:hAnsi="Times New Roman"/>
          <w:sz w:val="18"/>
          <w:szCs w:val="18"/>
          <w:b w:val="1"/>
          <w:bCs w:val="1"/>
          <w:color w:val="auto"/>
        </w:rPr>
      </w:pPr>
    </w:p>
    <w:p>
      <w:pPr>
        <w:ind w:left="-8" w:right="20" w:firstLine="332"/>
        <w:spacing w:after="0" w:line="253" w:lineRule="auto"/>
        <w:tabs>
          <w:tab w:leader="none" w:pos="496" w:val="left"/>
        </w:tabs>
        <w:numPr>
          <w:ilvl w:val="1"/>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The Company shall indemnify the Indemnitee if the Indemnitee is a party to or threatened to be made a party to or is otherwise involved in any Proceeding by or in the right of the Company to procure a judgment in its favor by reason of the fact that the Indemnitee is or was a director or officer of the Company,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the defense or settlement of such a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no indemnification under this section shall be made in respect of any claim, issue or matter as to which such person shall have been adjudicated by final judgment by a court of competent jurisdiction to be liable to the Company for willful misconduct in the performance of his/her duty to the Company, unless and only to the extent that the court in which such Proceeding was brought shall determine upon application that, despite the adjudication of liability but in view of all the circumstances of the case, such person is fairly and reasonably entitled to indemnity for such amounts which such other court shall deem proper.</w:t>
      </w:r>
    </w:p>
    <w:p>
      <w:pPr>
        <w:spacing w:after="0" w:line="194" w:lineRule="exact"/>
        <w:rPr>
          <w:rFonts w:ascii="Times New Roman" w:cs="Times New Roman" w:eastAsia="Times New Roman" w:hAnsi="Times New Roman"/>
          <w:sz w:val="18"/>
          <w:szCs w:val="18"/>
          <w:b w:val="1"/>
          <w:bCs w:val="1"/>
          <w:color w:val="auto"/>
        </w:rPr>
      </w:pPr>
    </w:p>
    <w:p>
      <w:pPr>
        <w:ind w:left="-8" w:firstLine="332"/>
        <w:spacing w:after="0" w:line="255" w:lineRule="auto"/>
        <w:tabs>
          <w:tab w:leader="none" w:pos="496" w:val="left"/>
        </w:tabs>
        <w:numPr>
          <w:ilvl w:val="1"/>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Proceeding Other Than a Proceeding by or in the Right of the Company</w:t>
      </w:r>
      <w:r>
        <w:rPr>
          <w:rFonts w:ascii="Times New Roman" w:cs="Times New Roman" w:eastAsia="Times New Roman" w:hAnsi="Times New Roman"/>
          <w:sz w:val="18"/>
          <w:szCs w:val="18"/>
          <w:color w:val="auto"/>
        </w:rPr>
        <w:t>. The Company shall indemnify the Indemnitee if the Indemnitee is a party to or threatened to be made a party to or is otherwise involved in any Proceeding (other than a Proceeding by or in the right of the Company), by reason of the fact that the Indemnitee is or was a director or officer of the Company,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such a Proceeding, to the fullest extent permitted by applicable law; provided, however, that any settlement of a Proceeding must be approved in advance in writing by the Company (which approval shall not be unreasonably withheld).</w:t>
      </w:r>
    </w:p>
    <w:p>
      <w:pPr>
        <w:spacing w:after="0" w:line="188" w:lineRule="exact"/>
        <w:rPr>
          <w:rFonts w:ascii="Times New Roman" w:cs="Times New Roman" w:eastAsia="Times New Roman" w:hAnsi="Times New Roman"/>
          <w:sz w:val="18"/>
          <w:szCs w:val="18"/>
          <w:b w:val="1"/>
          <w:bCs w:val="1"/>
          <w:color w:val="auto"/>
        </w:rPr>
      </w:pPr>
    </w:p>
    <w:p>
      <w:pPr>
        <w:ind w:left="-8" w:right="40" w:firstLine="332"/>
        <w:spacing w:after="0" w:line="261" w:lineRule="auto"/>
        <w:tabs>
          <w:tab w:leader="none" w:pos="496" w:val="left"/>
        </w:tabs>
        <w:numPr>
          <w:ilvl w:val="1"/>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for Costs, Charges and Expenses of Witness or Successful Party</w:t>
      </w:r>
      <w:r>
        <w:rPr>
          <w:rFonts w:ascii="Times New Roman" w:cs="Times New Roman" w:eastAsia="Times New Roman" w:hAnsi="Times New Roman"/>
          <w:sz w:val="18"/>
          <w:szCs w:val="18"/>
          <w:color w:val="auto"/>
        </w:rPr>
        <w:t>. Notwithstanding any other provision of this Agreement (except as set forth in subparagraph 9(a) hereof), and without a requirement for determination as required by Paragraph 8 hereof, to the extent that the Indemnitee</w:t>
      </w:r>
    </w:p>
    <w:p>
      <w:pPr>
        <w:ind w:left="-8" w:right="40" w:firstLine="8"/>
        <w:spacing w:after="0" w:line="252" w:lineRule="auto"/>
        <w:tabs>
          <w:tab w:leader="none" w:pos="23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prepared to serve or has served as a witness in any Proceeding in any way relating to (i) the Company or any of the Company’s subsidiaries, affiliates, employee benefit or welfare plans or such plan’s participants or beneficiaries or (ii) anything done or not done by the Indemnitee as a director or officer of the Company or in connection with serving at the request of the Company as an agent of another enterprise, or (b) has been successful in defense of any Proceeding or in defense of any claim, issue or matter therein, on the merits or otherwise, including the dismissal of a Proceeding without prejudice or the settlement of a Proceeding without an admission of liability, the Indemnitee shall be indemnified against all Expenses actually and reasonably incurred by the Indemnitee in connection therewith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3232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496" w:name="page497"/>
    <w:bookmarkEnd w:id="496"/>
    <w:p>
      <w:pPr>
        <w:ind w:left="-332" w:right="120" w:firstLine="332"/>
        <w:spacing w:after="0" w:line="256" w:lineRule="auto"/>
        <w:tabs>
          <w:tab w:leader="none" w:pos="172"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the Indemnitee is entitled under any provision of this Agreement to indemnification by the Company for a portion of the Expenses, judgments, fines, interest or penalties, or excise taxes assessed with respect to any employee benefit or welfare plan, which are actually and reasonably incurred by the Indemnitee in the investigation, defense, appeal or settlement of any Proceeding, but not, however, for the total amount of the Indemnitee’s Expenses, judgments, fines, interest or penalties, or excise taxes assessed with respect to any employee benefit or welfare plan, then the Company shall nevertheless indemnify the Indemnitee for the portion of such Expenses, judgments, fines, interest or penalties or excise taxes to which the Indemnitee is entitled.</w:t>
      </w:r>
    </w:p>
    <w:p>
      <w:pPr>
        <w:spacing w:after="0" w:line="187" w:lineRule="exact"/>
        <w:rPr>
          <w:rFonts w:ascii="Times New Roman" w:cs="Times New Roman" w:eastAsia="Times New Roman" w:hAnsi="Times New Roman"/>
          <w:sz w:val="18"/>
          <w:szCs w:val="18"/>
          <w:b w:val="1"/>
          <w:bCs w:val="1"/>
          <w:color w:val="auto"/>
        </w:rPr>
      </w:pPr>
    </w:p>
    <w:p>
      <w:pPr>
        <w:ind w:left="-332" w:right="140" w:firstLine="332"/>
        <w:spacing w:after="0" w:line="256" w:lineRule="auto"/>
        <w:tabs>
          <w:tab w:leader="none" w:pos="172"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Expenses incurred by the Indemnitee in any Proceeding shall be paid promptly by the Company in advance of the final disposition of the Proceeding at the written request of the Indemnitee to the fullest extent permitted by applicable law; provided, however, that the Indemnitee shall set forth in such request reasonable evidence that such Expenses have been incurred by the Indemnitee in connection with such Proceeding, a statement that such Expenses do not relate to any matter described in subparagraph 9(a) of this Agreement, and an undertaking in writing to repay any advances if it is ultimately determined as provided in subparagraph 8(b) of this Agreement that the Indemnitee is not entitled to indemnification under this Agreement.</w:t>
      </w:r>
    </w:p>
    <w:p>
      <w:pPr>
        <w:spacing w:after="0" w:line="187" w:lineRule="exact"/>
        <w:rPr>
          <w:rFonts w:ascii="Times New Roman" w:cs="Times New Roman" w:eastAsia="Times New Roman" w:hAnsi="Times New Roman"/>
          <w:sz w:val="18"/>
          <w:szCs w:val="18"/>
          <w:b w:val="1"/>
          <w:bCs w:val="1"/>
          <w:color w:val="auto"/>
        </w:rPr>
      </w:pPr>
    </w:p>
    <w:p>
      <w:pPr>
        <w:ind w:left="188" w:hanging="188"/>
        <w:spacing w:after="0"/>
        <w:tabs>
          <w:tab w:leader="none" w:pos="188"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Procedure; Determination of Right to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32" w:right="160" w:firstLine="980"/>
        <w:spacing w:after="0" w:line="258" w:lineRule="auto"/>
        <w:tabs>
          <w:tab w:leader="none" w:pos="884"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Indemnitee of notice of the commencement of any Proceeding, the Indemnitee shall, if a claim for indemnification or advancement of Expenses in respect thereof is to be made against the Company under this Agreement, notify the Company of the commencement thereof in writing. The omission to so notify the Company will not relieve the Company from any liability which the Company may have to the Indemnitee under this Agreement unless the Company shall have lost significant substantive or procedural rights with respect to the defense of any Proceeding as a result of such omission to so notify.</w:t>
      </w:r>
    </w:p>
    <w:p>
      <w:pPr>
        <w:spacing w:after="0" w:line="183" w:lineRule="exact"/>
        <w:rPr>
          <w:rFonts w:ascii="Times New Roman" w:cs="Times New Roman" w:eastAsia="Times New Roman" w:hAnsi="Times New Roman"/>
          <w:sz w:val="18"/>
          <w:szCs w:val="18"/>
          <w:color w:val="auto"/>
        </w:rPr>
      </w:pPr>
    </w:p>
    <w:p>
      <w:pPr>
        <w:jc w:val="both"/>
        <w:ind w:left="-332" w:firstLine="980"/>
        <w:spacing w:after="0" w:line="266" w:lineRule="auto"/>
        <w:tabs>
          <w:tab w:leader="none" w:pos="908"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shall be conclusively presumed to have met the relevant standards of conduct, if any, as defined by applicable law, for indemnification pursuant to this Agreement and shall be absolutely entitled to such indemnification, unless a determination is made that the Indemnitee has not met such standards by a court of competent jurisdiction.</w:t>
      </w:r>
    </w:p>
    <w:p>
      <w:pPr>
        <w:spacing w:after="0" w:line="175" w:lineRule="exact"/>
        <w:rPr>
          <w:rFonts w:ascii="Times New Roman" w:cs="Times New Roman" w:eastAsia="Times New Roman" w:hAnsi="Times New Roman"/>
          <w:sz w:val="18"/>
          <w:szCs w:val="18"/>
          <w:color w:val="auto"/>
        </w:rPr>
      </w:pPr>
    </w:p>
    <w:p>
      <w:pPr>
        <w:ind w:left="-332" w:right="40" w:firstLine="980"/>
        <w:spacing w:after="0" w:line="253" w:lineRule="auto"/>
        <w:tabs>
          <w:tab w:leader="none" w:pos="884"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or advancement of Expenses under this Agreement is not paid by the Company within thirty (30) days after receipt by the Company of written notice thereof, the rights provided by this Agreement shall be enforceable by the Indemnitee in any court of competent jurisdiction. Such judicial proceeding shall be made de novo. The burden of proving that indemnification or advances are not appropriate shall be on the Company. Neither the failure of the directors or shareholders of the Company or Independent Legal Counsel to have made a determination prior to the commencement of such action that indemnification or advancement of Expenses is proper in the circumstances because the Indemnitee has met the applicable standard of conduct, if any, nor an actual determination by the directors or shareholders of the Company or Independent Legal Counsel that the Indemnitee has not met the applicable standard of conduct shall be a defense to an action by the Indemnitee or create a presumption for the purpose of such an action that the Indemnitee has not met the applicable standard of conduct. The termination of any Proceeding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(i) create a presumption that the Indemnitee did not act in good faith and in a manner which he reasonably believed to be in the best interests of the Company and/or its shareholders, and, with respect to any criminal Proceeding, that the Indemnitee had reasonable cause to believe that his conduct was unlawful or (ii) otherwise adversely affect the rights of the Indemnitee to indemnification or advancement of Expenses under this Agreement, except as may be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423545</wp:posOffset>
            </wp:positionV>
            <wp:extent cx="713232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97" w:name="page498"/>
    <w:bookmarkEnd w:id="497"/>
    <w:p>
      <w:pPr>
        <w:ind w:left="-8" w:firstLine="980"/>
        <w:spacing w:after="0" w:line="266" w:lineRule="auto"/>
        <w:tabs>
          <w:tab w:leader="none" w:pos="1219" w:val="left"/>
        </w:tabs>
        <w:numPr>
          <w:ilvl w:val="2"/>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of competent jurisdiction shall determine that the Indemnitee is entitled to any indemnification or advancement of Expenses hereunder, the Company shall pay all Expenses actually and reasonably incurred by the Indemnitee in connection with such adjudication (including, but not limited to, any appellate proceedings).</w:t>
      </w:r>
    </w:p>
    <w:p>
      <w:pPr>
        <w:spacing w:after="0" w:line="175" w:lineRule="exact"/>
        <w:rPr>
          <w:rFonts w:ascii="Times New Roman" w:cs="Times New Roman" w:eastAsia="Times New Roman" w:hAnsi="Times New Roman"/>
          <w:sz w:val="18"/>
          <w:szCs w:val="18"/>
          <w:color w:val="auto"/>
        </w:rPr>
      </w:pPr>
    </w:p>
    <w:p>
      <w:pPr>
        <w:ind w:left="-8" w:firstLine="980"/>
        <w:spacing w:after="0" w:line="267" w:lineRule="auto"/>
        <w:tabs>
          <w:tab w:leader="none" w:pos="1208" w:val="left"/>
        </w:tabs>
        <w:numPr>
          <w:ilvl w:val="2"/>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Indemnitee. After notice from the Company to the Indemnitee of its election to assume the defense of a Proceeding, the Company will not be liable to the Indemnitee under this Agreement for any Expenses subsequently incurred by the Indemnitee in connection with the defense thereof, other than as provided below. The Company shall not settle any Proceeding in any manner which would impose any penalty or limitation on the Indemnitee without the Indemnitee’s written consent. The Indemnitee shall have the right to employ his/her own counsel in any Proceeding, but the fees and expenses of such counsel incurred after notice from the Company of its assumption of the defense of the Proceeding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a Proceeding, or</w:t>
      </w:r>
    </w:p>
    <w:p>
      <w:pPr>
        <w:spacing w:after="0" w:line="5" w:lineRule="exact"/>
        <w:rPr>
          <w:rFonts w:ascii="Times New Roman" w:cs="Times New Roman" w:eastAsia="Times New Roman" w:hAnsi="Times New Roman"/>
          <w:sz w:val="17"/>
          <w:szCs w:val="17"/>
          <w:color w:val="auto"/>
        </w:rPr>
      </w:pPr>
    </w:p>
    <w:p>
      <w:pPr>
        <w:ind w:left="-8" w:right="340" w:firstLine="8"/>
        <w:spacing w:after="0" w:line="253" w:lineRule="auto"/>
        <w:tabs>
          <w:tab w:leader="none" w:pos="307"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 fact have employed counsel to assume the defense of a proceeding, in each of which cases the fees and expenses of the Indemnitee’s counsel shall be advanced by the Company. The Company shall not be entitled to assume the defense of any Proceeding brought by or on behalf of the Company or as to which the Indemnitee has reasonably concluded that there may be a conflict of interest between the Company and the Indemnitee.</w:t>
      </w:r>
    </w:p>
    <w:p>
      <w:pPr>
        <w:spacing w:after="0" w:line="188" w:lineRule="exact"/>
        <w:rPr>
          <w:rFonts w:ascii="Times New Roman" w:cs="Times New Roman" w:eastAsia="Times New Roman" w:hAnsi="Times New Roman"/>
          <w:sz w:val="18"/>
          <w:szCs w:val="18"/>
          <w:color w:val="auto"/>
        </w:rPr>
      </w:pPr>
    </w:p>
    <w:p>
      <w:pPr>
        <w:ind w:left="832" w:hanging="184"/>
        <w:spacing w:after="0"/>
        <w:tabs>
          <w:tab w:leader="none" w:pos="832" w:val="left"/>
        </w:tabs>
        <w:numPr>
          <w:ilvl w:val="1"/>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Limitations on Indemnification</w:t>
      </w:r>
      <w:r>
        <w:rPr>
          <w:rFonts w:ascii="Times New Roman" w:cs="Times New Roman" w:eastAsia="Times New Roman" w:hAnsi="Times New Roman"/>
          <w:sz w:val="18"/>
          <w:szCs w:val="18"/>
          <w:color w:val="auto"/>
        </w:rPr>
        <w:t>. No payments pursuant to this Agreement shall be made by the Company:</w:t>
      </w:r>
    </w:p>
    <w:p>
      <w:pPr>
        <w:spacing w:after="0" w:line="225" w:lineRule="exact"/>
        <w:rPr>
          <w:rFonts w:ascii="Times New Roman" w:cs="Times New Roman" w:eastAsia="Times New Roman" w:hAnsi="Times New Roman"/>
          <w:sz w:val="18"/>
          <w:szCs w:val="18"/>
          <w:b w:val="1"/>
          <w:bCs w:val="1"/>
          <w:color w:val="auto"/>
        </w:rPr>
      </w:pPr>
    </w:p>
    <w:p>
      <w:pPr>
        <w:ind w:left="-8" w:firstLine="980"/>
        <w:spacing w:after="0" w:line="274" w:lineRule="auto"/>
        <w:tabs>
          <w:tab w:leader="none" w:pos="1208" w:val="left"/>
        </w:tabs>
        <w:numPr>
          <w:ilvl w:val="2"/>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or advance funds to the Indemnitee for Expenses with respect to (i) Proceedings initiated or brought voluntarily by the Indemnitee and not by way of defense, except with respect to Proceedings brought to establish or enforce a right to indemnification under this Agreement or any other statute or law or otherwise as required under applicable law or (ii) Expenses incurred by the Indemnitee in connection with preparing to serve or serving, prior to a Change in Control, as a witness in cooperation with any party or entity who or which has threatened or commenced any action or proceeding against the Company, or any director, officer, employee, trustee, agent, representative, subsidiary, parent corporation or affiliate of the Company, but such indemnification or advancement of Expenses in each such case may be provided by the Company if the Board finds it to be appropriate;</w:t>
      </w:r>
    </w:p>
    <w:p>
      <w:pPr>
        <w:spacing w:after="0" w:line="172" w:lineRule="exact"/>
        <w:rPr>
          <w:rFonts w:ascii="Times New Roman" w:cs="Times New Roman" w:eastAsia="Times New Roman" w:hAnsi="Times New Roman"/>
          <w:sz w:val="17"/>
          <w:szCs w:val="17"/>
          <w:color w:val="auto"/>
        </w:rPr>
      </w:pPr>
    </w:p>
    <w:p>
      <w:pPr>
        <w:ind w:left="-8" w:firstLine="980"/>
        <w:spacing w:after="0" w:line="266" w:lineRule="auto"/>
        <w:tabs>
          <w:tab w:leader="none" w:pos="1219"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for any Expenses, judgments, fines, interest or penalties, or excise taxes assessed with respect to any employee benefit or welfare plan, sustained in any Proceeding for which payment is actually made to the Indemnitee under a valid and collectible insurance policy, except in respect of any excess beyond the amount of payment under such insurance;</w:t>
      </w:r>
    </w:p>
    <w:p>
      <w:pPr>
        <w:spacing w:after="0" w:line="175" w:lineRule="exact"/>
        <w:rPr>
          <w:rFonts w:ascii="Times New Roman" w:cs="Times New Roman" w:eastAsia="Times New Roman" w:hAnsi="Times New Roman"/>
          <w:sz w:val="18"/>
          <w:szCs w:val="18"/>
          <w:color w:val="auto"/>
        </w:rPr>
      </w:pPr>
    </w:p>
    <w:p>
      <w:pPr>
        <w:ind w:left="-8" w:right="280" w:firstLine="980"/>
        <w:spacing w:after="0" w:line="266" w:lineRule="auto"/>
        <w:tabs>
          <w:tab w:leader="none" w:pos="1208"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for any Expenses, judgments, fines, interest or penalties sustained in any Proceeding for an accounting of profits made from the purchase or sale by the Indemnitee of securities of the Company pursuant to the provisions of Section 16(b) of the Act or similar provisions of any foreign or United States federal, state or local statute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98" w:name="page499"/>
    <w:bookmarkEnd w:id="498"/>
    <w:p>
      <w:pPr>
        <w:ind w:left="-332" w:right="620" w:firstLine="980"/>
        <w:spacing w:after="0" w:line="282" w:lineRule="auto"/>
        <w:tabs>
          <w:tab w:leader="none" w:pos="895"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for any Expenses, judgments, fines, interest or penalties, or excise taxes assessed with respect to any employee benefit or welfare plan, for which the Indemnitee is indemnified by the Company otherwise than pursuant to this Agreement;</w:t>
      </w:r>
    </w:p>
    <w:p>
      <w:pPr>
        <w:spacing w:after="0" w:line="161" w:lineRule="exact"/>
        <w:rPr>
          <w:rFonts w:ascii="Times New Roman" w:cs="Times New Roman" w:eastAsia="Times New Roman" w:hAnsi="Times New Roman"/>
          <w:sz w:val="18"/>
          <w:szCs w:val="18"/>
          <w:color w:val="auto"/>
        </w:rPr>
      </w:pPr>
    </w:p>
    <w:p>
      <w:pPr>
        <w:ind w:left="-332" w:right="80" w:firstLine="980"/>
        <w:spacing w:after="0" w:line="261" w:lineRule="auto"/>
        <w:tabs>
          <w:tab w:leader="none" w:pos="884"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for any Expenses (including without limitation any Expenses relating to a Proceeding attempting to enforce this Agreement), judgments, fines, interest or penalties, or excise taxes assessed with respect to any employee benefit or welfare plan, on account of the Indemnitee’s conduct if such conduct shall be finally adjudged to have been knowingly fraudulent, deliberately dishonest or willful misconduct, including, without limitation, breach of the duty of loyalty; or</w:t>
      </w:r>
    </w:p>
    <w:p>
      <w:pPr>
        <w:spacing w:after="0" w:line="179" w:lineRule="exact"/>
        <w:rPr>
          <w:rFonts w:ascii="Times New Roman" w:cs="Times New Roman" w:eastAsia="Times New Roman" w:hAnsi="Times New Roman"/>
          <w:sz w:val="18"/>
          <w:szCs w:val="18"/>
          <w:color w:val="auto"/>
        </w:rPr>
      </w:pPr>
    </w:p>
    <w:p>
      <w:pPr>
        <w:ind w:left="-332" w:right="20" w:firstLine="980"/>
        <w:spacing w:after="0" w:line="289" w:lineRule="auto"/>
        <w:tabs>
          <w:tab w:leader="none" w:pos="865" w:val="left"/>
        </w:tabs>
        <w:numPr>
          <w:ilvl w:val="1"/>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court of competent jurisdiction finally determines that any indemnification hereunder is unlawful. In this respect, the Company and the Indemnitee have been advised that the Securities and Exchange Commission takes the position that indemnification for liabilities arising under securities laws is against public policy and is, therefore, unenforceable and that claims for indemnification should be submitted to appropriate courts for adjudication;</w:t>
      </w:r>
    </w:p>
    <w:p>
      <w:pPr>
        <w:spacing w:after="0" w:line="157" w:lineRule="exact"/>
        <w:rPr>
          <w:rFonts w:ascii="Times New Roman" w:cs="Times New Roman" w:eastAsia="Times New Roman" w:hAnsi="Times New Roman"/>
          <w:sz w:val="17"/>
          <w:szCs w:val="17"/>
          <w:color w:val="auto"/>
        </w:rPr>
      </w:pPr>
    </w:p>
    <w:p>
      <w:pPr>
        <w:ind w:left="908" w:hanging="260"/>
        <w:spacing w:after="0"/>
        <w:tabs>
          <w:tab w:leader="none" w:pos="908"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in connection with Indemnitee’s personal tax matter; or</w:t>
      </w:r>
    </w:p>
    <w:p>
      <w:pPr>
        <w:spacing w:after="0" w:line="225" w:lineRule="exact"/>
        <w:rPr>
          <w:rFonts w:ascii="Times New Roman" w:cs="Times New Roman" w:eastAsia="Times New Roman" w:hAnsi="Times New Roman"/>
          <w:sz w:val="18"/>
          <w:szCs w:val="18"/>
          <w:color w:val="auto"/>
        </w:rPr>
      </w:pPr>
    </w:p>
    <w:p>
      <w:pPr>
        <w:ind w:left="-332" w:right="300" w:firstLine="980"/>
        <w:spacing w:after="0" w:line="282" w:lineRule="auto"/>
        <w:tabs>
          <w:tab w:leader="none" w:pos="895"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Indemnitee with respect to any claim related to any dispute or breach arising under any contract or similar obligation between the Company or any of its subsidiaries or affiliates and such Indemnitee.</w:t>
      </w:r>
    </w:p>
    <w:p>
      <w:pPr>
        <w:spacing w:after="0" w:line="161" w:lineRule="exact"/>
        <w:rPr>
          <w:rFonts w:ascii="Times New Roman" w:cs="Times New Roman" w:eastAsia="Times New Roman" w:hAnsi="Times New Roman"/>
          <w:sz w:val="18"/>
          <w:szCs w:val="18"/>
          <w:color w:val="auto"/>
        </w:rPr>
      </w:pPr>
    </w:p>
    <w:p>
      <w:pPr>
        <w:ind w:left="-332" w:firstLine="332"/>
        <w:spacing w:after="0" w:line="261" w:lineRule="auto"/>
        <w:tabs>
          <w:tab w:leader="none" w:pos="262"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All agreements and obligations of the Company contained herein shall continue during the period that the Indemnitee is a director or officer of the Company (or is or was serving at the request of the Company as an agent of another enterprise, foreign or domestic) and shall continue thereafter so long as the Indemnitee shall be subject to any possible Proceeding by reason of the fact that the Indemnitee was a director or officer of the Company or serving in any other capacity referred to in this Paragraph 10.</w:t>
      </w:r>
    </w:p>
    <w:p>
      <w:pPr>
        <w:spacing w:after="0" w:line="179" w:lineRule="exact"/>
        <w:rPr>
          <w:rFonts w:ascii="Times New Roman" w:cs="Times New Roman" w:eastAsia="Times New Roman" w:hAnsi="Times New Roman"/>
          <w:sz w:val="18"/>
          <w:szCs w:val="18"/>
          <w:b w:val="1"/>
          <w:bCs w:val="1"/>
          <w:color w:val="auto"/>
        </w:rPr>
      </w:pPr>
    </w:p>
    <w:p>
      <w:pPr>
        <w:ind w:left="-332" w:right="20" w:firstLine="332"/>
        <w:spacing w:after="0" w:line="261" w:lineRule="auto"/>
        <w:tabs>
          <w:tab w:leader="none" w:pos="252"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Hereunder Not Exclusive</w:t>
      </w:r>
      <w:r>
        <w:rPr>
          <w:rFonts w:ascii="Times New Roman" w:cs="Times New Roman" w:eastAsia="Times New Roman" w:hAnsi="Times New Roman"/>
          <w:sz w:val="18"/>
          <w:szCs w:val="18"/>
          <w:color w:val="auto"/>
        </w:rPr>
        <w:t>. The indemnification provided by this Agreement shall not be deemed to be exclusive of any other rights to which the Indemnitee may be entitled under the Company’s Articles, any agreement, vote of shareholders or vote of Disinterested Directors, provisions of applicable law, or otherwise, both as to action or omission in the Indemnitee’s official capacity and as to action or omission in another capacity on behalf of the Company while holding such office.</w:t>
      </w:r>
    </w:p>
    <w:p>
      <w:pPr>
        <w:spacing w:after="0" w:line="179" w:lineRule="exact"/>
        <w:rPr>
          <w:rFonts w:ascii="Times New Roman" w:cs="Times New Roman" w:eastAsia="Times New Roman" w:hAnsi="Times New Roman"/>
          <w:sz w:val="18"/>
          <w:szCs w:val="18"/>
          <w:b w:val="1"/>
          <w:bCs w:val="1"/>
          <w:color w:val="auto"/>
        </w:rPr>
      </w:pPr>
    </w:p>
    <w:p>
      <w:pPr>
        <w:ind w:left="268" w:hanging="268"/>
        <w:spacing w:after="0"/>
        <w:tabs>
          <w:tab w:leader="none" w:pos="268"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32" w:right="20" w:firstLine="980"/>
        <w:spacing w:after="0" w:line="256" w:lineRule="auto"/>
        <w:tabs>
          <w:tab w:leader="none" w:pos="884"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the Indemnitee, and shall inure to the benefit of, the Indemnitee and the Indemnitee’s heirs, executors, administrators and assigns, whether or not the Indemnitee has ceased to be a director or officer, and the Company and its successors and assigns. Upon the sale of all or substantially all of the business, assets or share capital of the Company to, or upon the merger of the Company into or with, any corporation, partnership, joint venture, trust or other person, this Agreement shall inure to the benefit of and be binding upon both the Indemnitee and such purchaser or successor person. Subject to the foregoing, this Agreement may not be assigned by either party without the prior written consent of the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422275</wp:posOffset>
            </wp:positionV>
            <wp:extent cx="713232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499" w:name="page500"/>
    <w:bookmarkEnd w:id="499"/>
    <w:p>
      <w:pPr>
        <w:ind w:right="160" w:firstLine="980"/>
        <w:spacing w:after="0" w:line="256" w:lineRule="auto"/>
        <w:tabs>
          <w:tab w:leader="none" w:pos="1227"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Indemnitee is deceased and is entitled to indemnification under any provision of this Agreement, the Company shall indemnify the Indemnitee’s estate and the Indemnitee’s spouse, heirs, executors, administrators and assigns against, and the Company shall, and does hereby agree to assume, any and all Expenses actually and reasonably incurred by or for the Indemnitee or the Indemnitee’s estate, in connection with the investigation, defense, appeal or settlement of any Proceeding. Further, when requested in writing by the spouse of the Indemnitee, and/or the Indemnitee’s heirs, executors, administrators and assigns, the Company shall provide appropriate evidence of the Company’s agreement set out herein to indemnify the Indemnitee against and to itself assume such Expenses.</w:t>
      </w:r>
    </w:p>
    <w:p>
      <w:pPr>
        <w:spacing w:after="0" w:line="187" w:lineRule="exact"/>
        <w:rPr>
          <w:rFonts w:ascii="Times New Roman" w:cs="Times New Roman" w:eastAsia="Times New Roman" w:hAnsi="Times New Roman"/>
          <w:sz w:val="18"/>
          <w:szCs w:val="18"/>
          <w:color w:val="auto"/>
        </w:rPr>
      </w:pPr>
    </w:p>
    <w:p>
      <w:pPr>
        <w:ind w:right="180" w:firstLine="332"/>
        <w:spacing w:after="0" w:line="266"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w:t>
      </w:r>
    </w:p>
    <w:p>
      <w:pPr>
        <w:spacing w:after="0" w:line="175" w:lineRule="exact"/>
        <w:rPr>
          <w:rFonts w:ascii="Times New Roman" w:cs="Times New Roman" w:eastAsia="Times New Roman" w:hAnsi="Times New Roman"/>
          <w:sz w:val="18"/>
          <w:szCs w:val="18"/>
          <w:b w:val="1"/>
          <w:bCs w:val="1"/>
          <w:color w:val="auto"/>
        </w:rPr>
      </w:pPr>
    </w:p>
    <w:p>
      <w:pPr>
        <w:ind w:right="120" w:firstLine="332"/>
        <w:spacing w:after="0" w:line="256"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and every paragraph, sentence, term and provision of this Agreement is separate and distinct so that if any paragraph, sentence, term or provision thereof shall be held to be invalid, unlawful or unenforceable for any reason, such invalidity, unlawfulness or unenforceability shall not affect the validity, unlawfulness or enforceability of any other paragraph, sentence, term or provision hereof. To the extent required, any paragraph, sentence, term or provision of this Agreement may be modified by a court of competent jurisdiction to preserve its validity and to provide the Indemnitee with the broadest possible indemnification permitted under applicable law. The Company’s inability, pursuant to a court order or decision, to perform its obligations under this Agreement shall not constitute a breach of this Agreement.</w:t>
      </w:r>
    </w:p>
    <w:p>
      <w:pPr>
        <w:spacing w:after="0" w:line="187" w:lineRule="exact"/>
        <w:rPr>
          <w:rFonts w:ascii="Times New Roman" w:cs="Times New Roman" w:eastAsia="Times New Roman" w:hAnsi="Times New Roman"/>
          <w:sz w:val="18"/>
          <w:szCs w:val="18"/>
          <w:b w:val="1"/>
          <w:bCs w:val="1"/>
          <w:color w:val="auto"/>
        </w:rPr>
      </w:pPr>
    </w:p>
    <w:p>
      <w:pPr>
        <w:ind w:right="20" w:firstLine="332"/>
        <w:spacing w:after="0" w:line="261"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Agreement or any paragraph, sentence, term or provision hereof is invalidated on any ground by any court of competent jurisdiction, the Company shall nevertheless indemnify the Indemnitee as to any Expenses, judgments, fines, interest or penalties, or excise taxes assessed with respect to any employee benefit or welfare plan, which are incurred with respect to any Proceeding to the fullest extent permitted by any (a) applicable paragraph, sentence, term or provision of this Agreement that has not been invalidated or (b) applicable law.</w:t>
      </w:r>
    </w:p>
    <w:p>
      <w:pPr>
        <w:spacing w:after="0" w:line="179" w:lineRule="exact"/>
        <w:rPr>
          <w:rFonts w:ascii="Times New Roman" w:cs="Times New Roman" w:eastAsia="Times New Roman" w:hAnsi="Times New Roman"/>
          <w:sz w:val="18"/>
          <w:szCs w:val="18"/>
          <w:b w:val="1"/>
          <w:bCs w:val="1"/>
          <w:color w:val="auto"/>
        </w:rPr>
      </w:pPr>
    </w:p>
    <w:p>
      <w:pPr>
        <w:ind w:right="260" w:firstLine="332"/>
        <w:spacing w:after="0" w:line="266"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Interpretation; Governing Law</w:t>
      </w:r>
      <w:r>
        <w:rPr>
          <w:rFonts w:ascii="Times New Roman" w:cs="Times New Roman" w:eastAsia="Times New Roman" w:hAnsi="Times New Roman"/>
          <w:sz w:val="18"/>
          <w:szCs w:val="18"/>
          <w:color w:val="auto"/>
        </w:rPr>
        <w:t>. This Agreement shall be construed as a whole and in accordance with its fair meaning and any ambiguities shall not be construed for or against either party. Headings are for convenience only and shall not be used in construing meaning. This Agreement shall be governed and interpreted in accordance with the laws of the State of New York without regard to the conflict of laws principles thereof.</w:t>
      </w:r>
    </w:p>
    <w:p>
      <w:pPr>
        <w:spacing w:after="0" w:line="175" w:lineRule="exact"/>
        <w:rPr>
          <w:rFonts w:ascii="Times New Roman" w:cs="Times New Roman" w:eastAsia="Times New Roman" w:hAnsi="Times New Roman"/>
          <w:sz w:val="18"/>
          <w:szCs w:val="18"/>
          <w:b w:val="1"/>
          <w:bCs w:val="1"/>
          <w:color w:val="auto"/>
        </w:rPr>
      </w:pPr>
    </w:p>
    <w:p>
      <w:pPr>
        <w:ind w:right="20" w:firstLine="332"/>
        <w:spacing w:after="0" w:line="261"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waiver, modification, termination or cancellation of this Agreement shall be effective unless in writing signed by the party against whom enforcement is sought. The indemnification rights afforded to the Indemnitee hereby are contract rights and may not be diminished, eliminated or otherwise affected by amendments to the Company’s Articles, or by other agreements, including directors’ and officers’ liability insurance policies, of the Company.</w:t>
      </w:r>
    </w:p>
    <w:p>
      <w:pPr>
        <w:spacing w:after="0" w:line="179"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59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to the other.</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to be given under this Agreement shall be directed to Bin Xiong, the Legal Counsel of the Company, at No. 26,</w:t>
      </w: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Gaoxin 2nd Road, Wuhan, Hubei, 430000, The People’s Republic of China and to the Indemnitee at</w:t>
            </w:r>
          </w:p>
        </w:tc>
        <w:tc>
          <w:tcPr>
            <w:tcW w:w="1940" w:type="dxa"/>
            <w:vAlign w:val="bottom"/>
            <w:tcBorders>
              <w:bottom w:val="single" w:sz="8" w:color="auto"/>
            </w:tcBorders>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or to such other address as</w:t>
            </w:r>
          </w:p>
        </w:tc>
      </w:tr>
      <w:tr>
        <w:trPr>
          <w:trHeight w:val="237"/>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either shall designate to the other in writing.</w:t>
            </w:r>
          </w:p>
        </w:tc>
        <w:tc>
          <w:tcPr>
            <w:tcW w:w="2040" w:type="dxa"/>
            <w:vAlign w:val="bottom"/>
          </w:tcPr>
          <w:p>
            <w:pPr>
              <w:spacing w:after="0"/>
              <w:rPr>
                <w:sz w:val="20"/>
                <w:szCs w:val="20"/>
                <w:color w:val="auto"/>
              </w:rPr>
            </w:pPr>
          </w:p>
        </w:tc>
      </w:tr>
      <w:tr>
        <w:trPr>
          <w:trHeight w:val="432"/>
        </w:trPr>
        <w:tc>
          <w:tcPr>
            <w:tcW w:w="920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tc>
        <w:tc>
          <w:tcPr>
            <w:tcW w:w="2040" w:type="dxa"/>
            <w:vAlign w:val="bottom"/>
          </w:tcPr>
          <w:p>
            <w:pPr>
              <w:spacing w:after="0"/>
              <w:rPr>
                <w:sz w:val="24"/>
                <w:szCs w:val="24"/>
                <w:color w:val="auto"/>
              </w:rPr>
            </w:pPr>
          </w:p>
        </w:tc>
      </w:tr>
      <w:tr>
        <w:trPr>
          <w:trHeight w:val="675"/>
        </w:trPr>
        <w:tc>
          <w:tcPr>
            <w:tcW w:w="7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Indemnification Agreement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86"/>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Exhibit 10.3</w:t>
            </w:r>
          </w:p>
        </w:tc>
      </w:tr>
      <w:tr>
        <w:trPr>
          <w:trHeight w:val="447"/>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560" w:type="dxa"/>
            <w:vAlign w:val="bottom"/>
            <w:gridSpan w:val="8"/>
          </w:tcPr>
          <w:p>
            <w:pPr>
              <w:ind w:left="780"/>
              <w:spacing w:after="0"/>
              <w:rPr>
                <w:sz w:val="20"/>
                <w:szCs w:val="20"/>
                <w:color w:val="auto"/>
              </w:rPr>
            </w:pPr>
            <w:r>
              <w:rPr>
                <w:rFonts w:ascii="Times New Roman" w:cs="Times New Roman" w:eastAsia="Times New Roman" w:hAnsi="Times New Roman"/>
                <w:sz w:val="18"/>
                <w:szCs w:val="18"/>
                <w:b w:val="1"/>
                <w:bCs w:val="1"/>
                <w:color w:val="auto"/>
              </w:rPr>
              <w:t>EMPLOYMENT AGREEMENT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2"/>
        </w:trPr>
        <w:tc>
          <w:tcPr>
            <w:tcW w:w="648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This EMPLOYMENT AGREEMENT (the “Agreement”) is entered into as of</w:t>
            </w:r>
          </w:p>
        </w:tc>
        <w:tc>
          <w:tcPr>
            <w:tcW w:w="47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w w:val="99"/>
              </w:rPr>
              <w:t>by and between NIP Group Inc., an exempted company</w:t>
            </w: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6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incorporated and existing under the laws of the Cayman Islands (the “Company”), and</w:t>
            </w:r>
          </w:p>
        </w:tc>
        <w:tc>
          <w:tcPr>
            <w:tcW w:w="164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(Passport/PRC ID Card No.</w:t>
            </w:r>
          </w:p>
        </w:tc>
        <w:tc>
          <w:tcPr>
            <w:tcW w:w="11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5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(the “Executive”).</w:t>
            </w:r>
          </w:p>
        </w:tc>
        <w:tc>
          <w:tcPr>
            <w:tcW w:w="700" w:type="dxa"/>
            <w:vAlign w:val="bottom"/>
            <w:tcBorders>
              <w:top w:val="single" w:sz="8" w:color="auto"/>
            </w:tcBorders>
          </w:tcPr>
          <w:p>
            <w:pPr>
              <w:spacing w:after="0"/>
              <w:rPr>
                <w:sz w:val="17"/>
                <w:szCs w:val="17"/>
                <w:color w:val="auto"/>
              </w:rPr>
            </w:pPr>
          </w:p>
        </w:tc>
        <w:tc>
          <w:tcPr>
            <w:tcW w:w="480" w:type="dxa"/>
            <w:vAlign w:val="bottom"/>
            <w:gridSpan w:val="2"/>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to assure itself of the services of the Executive during the term of Employment (as defined below) and under the terms and conditions of the Agreement;</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during the term of Employment and under the terms and conditions of the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herein contained, the Company and the Executive agree as follows:</w:t>
      </w:r>
    </w:p>
    <w:p>
      <w:pPr>
        <w:spacing w:after="0" w:line="158" w:lineRule="exact"/>
        <w:rPr>
          <w:sz w:val="20"/>
          <w:szCs w:val="20"/>
          <w:color w:val="auto"/>
        </w:rPr>
      </w:pPr>
    </w:p>
    <w:p>
      <w:pPr>
        <w:ind w:left="660" w:hanging="652"/>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hereby agrees to employ the Executive and the Executive hereby accepts such employment, on the terms and conditions hereinafter set forth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Subject to the terms and conditions of the Agreement, the initial term of the Employment shall be</w:t>
            </w:r>
          </w:p>
        </w:tc>
        <w:tc>
          <w:tcPr>
            <w:tcW w:w="540" w:type="dxa"/>
            <w:vAlign w:val="bottom"/>
            <w:tcBorders>
              <w:bottom w:val="single" w:sz="8" w:color="auto"/>
            </w:tcBorders>
          </w:tcPr>
          <w:p>
            <w:pPr>
              <w:spacing w:after="0"/>
              <w:rPr>
                <w:sz w:val="17"/>
                <w:szCs w:val="17"/>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years, commencing on</w:t>
            </w:r>
          </w:p>
        </w:tc>
        <w:tc>
          <w:tcPr>
            <w:tcW w:w="540" w:type="dxa"/>
            <w:vAlign w:val="bottom"/>
            <w:tcBorders>
              <w:bottom w:val="single" w:sz="8" w:color="auto"/>
            </w:tcBorders>
          </w:tcPr>
          <w:p>
            <w:pPr>
              <w:spacing w:after="0"/>
              <w:rPr>
                <w:sz w:val="17"/>
                <w:szCs w:val="17"/>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r>
      <w:tr>
        <w:trPr>
          <w:trHeight w:val="196"/>
        </w:trPr>
        <w:tc>
          <w:tcPr>
            <w:tcW w:w="2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“Effective Date”) and ending on</w:t>
            </w:r>
          </w:p>
        </w:tc>
        <w:tc>
          <w:tcPr>
            <w:tcW w:w="75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(the “Initial Term”), unless terminated earlier pursuant to the terms of the Agreement. Upon expiration of</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196"/>
        </w:trPr>
        <w:tc>
          <w:tcPr>
            <w:tcW w:w="7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the Initial Term of the Employment, the Employment shall be automatically extended for successive periods of</w:t>
            </w:r>
          </w:p>
        </w:tc>
        <w:tc>
          <w:tcPr>
            <w:tcW w:w="540" w:type="dxa"/>
            <w:vAlign w:val="bottom"/>
            <w:tcBorders>
              <w:bottom w:val="single" w:sz="8" w:color="auto"/>
            </w:tcBorders>
          </w:tcPr>
          <w:p>
            <w:pPr>
              <w:spacing w:after="0"/>
              <w:rPr>
                <w:sz w:val="17"/>
                <w:szCs w:val="17"/>
                <w:color w:val="auto"/>
              </w:rPr>
            </w:pPr>
          </w:p>
        </w:tc>
        <w:tc>
          <w:tcPr>
            <w:tcW w:w="1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months each (each, an</w:t>
            </w:r>
          </w:p>
        </w:tc>
      </w:tr>
    </w:tbl>
    <w:p>
      <w:pPr>
        <w:spacing w:after="0" w:line="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 unless either party shall have given 60 days advance written notice to the other party, in the manner set forth in Section 19 below, prior to the end of the Initial Term or the Extension Period in question, as applicable, that the term of this Agreement that is in effect at the time such written notice is given is not to be extended or further extended, as the case may be (the period during which this Agreement is effective being referred to hereafter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p>
    <w:p>
      <w:pPr>
        <w:spacing w:after="0" w:line="229" w:lineRule="exact"/>
        <w:rPr>
          <w:rFonts w:ascii="Times New Roman" w:cs="Times New Roman" w:eastAsia="Times New Roman" w:hAnsi="Times New Roman"/>
          <w:sz w:val="18"/>
          <w:szCs w:val="18"/>
          <w:b w:val="1"/>
          <w:bCs w:val="1"/>
          <w:color w:val="auto"/>
        </w:rPr>
      </w:pPr>
    </w:p>
    <w:p>
      <w:pPr>
        <w:ind w:left="1080" w:right="160" w:hanging="424"/>
        <w:spacing w:after="0" w:line="258" w:lineRule="auto"/>
        <w:tabs>
          <w:tab w:leader="none" w:pos="108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Executive shall serve as the ________of the Company or in such other position or positions with a level of duties and responsibilities consistent with the foregoing with the Company and/or its subsidiaries and affiliates 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specify from time to time and shall have the duties, responsibilities and obligations customarily assigned to individuals serving in the position or positions in which the Executive serves hereunder and as assigned by the Board, or with the Board’s authorization, by the Company’s chief executive officer(s).</w:t>
      </w:r>
    </w:p>
    <w:p>
      <w:pPr>
        <w:spacing w:after="0" w:line="183"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to serve without additional compensation, if elected or appointed thereto, as a director of the Company or any subsidiaries or affiliated entity of the Company (collectively, the “Group”) and as a member of any committees of the board of directors of any such entity, provided that the Executive is indemnified for serving in any and all such capacities on a basis no less favorable than is currently provided to any other director of any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2" w:name="page503"/>
    <w:bookmarkEnd w:id="502"/>
    <w:p>
      <w:pPr>
        <w:ind w:left="1072" w:right="60" w:hanging="424"/>
        <w:spacing w:after="0" w:line="266" w:lineRule="auto"/>
        <w:tabs>
          <w:tab w:leader="none" w:pos="1072"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to devote all of his/her working time and efforts to the performance of his/her duties for the Company and to faithfully and diligently serve the Company in accordance with the Agreement and the guidelines, policies and procedures of the Company approved from time to time by the Board.</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BREACH OF CONTRACT</w:t>
      </w:r>
    </w:p>
    <w:p>
      <w:pPr>
        <w:spacing w:after="0" w:line="229" w:lineRule="exact"/>
        <w:rPr>
          <w:rFonts w:ascii="Times New Roman" w:cs="Times New Roman" w:eastAsia="Times New Roman" w:hAnsi="Times New Roman"/>
          <w:sz w:val="18"/>
          <w:szCs w:val="18"/>
          <w:b w:val="1"/>
          <w:bCs w:val="1"/>
          <w:color w:val="auto"/>
        </w:rPr>
      </w:pPr>
    </w:p>
    <w:p>
      <w:pPr>
        <w:ind w:left="652"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hereby represents to the Company that: (i) the execution and delivery of the Agreement by the Executive and the performance by the Executive of the Executive’s duties hereunder shall not constitute a breach of, or otherwise contravene, the terms of any other agreement or policy to which the Executive is a party or by which the Executive is otherwise bound, except that the Executive does not make any representation with respect to agreements required to be entered into by and between the Executive and any member of the Group pursuant to the applicable law of the jurisdiction in which the Executive is based, if any; (ii) that the Executive is not in possession of any information (including, without limitation, confidential information and trade secrets) the knowledge of which would prevent the Executive from freely entering into the Agreement and carrying out his/her duties hereunder; and (iii) that the Executive is not bound by any confidentiality, trade secret or similar agreement with any person or entity other than any member of the Group.</w:t>
      </w:r>
    </w:p>
    <w:p>
      <w:pPr>
        <w:spacing w:after="0" w:line="18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w:t>
      </w:r>
    </w:p>
    <w:p>
      <w:pPr>
        <w:spacing w:after="0" w:line="229" w:lineRule="exact"/>
        <w:rPr>
          <w:sz w:val="20"/>
          <w:szCs w:val="20"/>
          <w:color w:val="auto"/>
        </w:rPr>
      </w:pPr>
    </w:p>
    <w:p>
      <w:pPr>
        <w:ind w:left="652"/>
        <w:spacing w:after="0"/>
        <w:tabs>
          <w:tab w:leader="none" w:pos="3392" w:val="left"/>
        </w:tabs>
        <w:rPr>
          <w:sz w:val="20"/>
          <w:szCs w:val="20"/>
          <w:color w:val="auto"/>
        </w:rPr>
      </w:pPr>
      <w:r>
        <w:rPr>
          <w:rFonts w:ascii="Times New Roman" w:cs="Times New Roman" w:eastAsia="Times New Roman" w:hAnsi="Times New Roman"/>
          <w:sz w:val="18"/>
          <w:szCs w:val="18"/>
          <w:color w:val="auto"/>
        </w:rPr>
        <w:t>The Executive will be based in</w:t>
      </w:r>
      <w:r>
        <w:rPr>
          <w:sz w:val="20"/>
          <w:szCs w:val="20"/>
          <w:color w:val="auto"/>
        </w:rPr>
        <w:tab/>
      </w:r>
      <w:r>
        <w:rPr>
          <w:rFonts w:ascii="Times New Roman" w:cs="Times New Roman" w:eastAsia="Times New Roman" w:hAnsi="Times New Roman"/>
          <w:sz w:val="17"/>
          <w:szCs w:val="17"/>
          <w:color w:val="auto"/>
        </w:rPr>
        <w:t>or any other location as requested by the Company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-7620</wp:posOffset>
            </wp:positionV>
            <wp:extent cx="34290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1" w:lineRule="exact"/>
        <w:rPr>
          <w:sz w:val="20"/>
          <w:szCs w:val="20"/>
          <w:color w:val="auto"/>
        </w:rPr>
      </w:pPr>
    </w:p>
    <w:p>
      <w:pPr>
        <w:ind w:left="652" w:hanging="652"/>
        <w:spacing w:after="0"/>
        <w:tabs>
          <w:tab w:leader="none" w:pos="652"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p>
    <w:p>
      <w:pPr>
        <w:spacing w:after="0" w:line="229" w:lineRule="exact"/>
        <w:rPr>
          <w:rFonts w:ascii="Times New Roman" w:cs="Times New Roman" w:eastAsia="Times New Roman" w:hAnsi="Times New Roman"/>
          <w:sz w:val="18"/>
          <w:szCs w:val="18"/>
          <w:b w:val="1"/>
          <w:bCs w:val="1"/>
          <w:color w:val="auto"/>
        </w:rPr>
      </w:pPr>
    </w:p>
    <w:p>
      <w:pPr>
        <w:ind w:left="1072" w:right="20" w:hanging="424"/>
        <w:spacing w:after="0" w:line="261" w:lineRule="auto"/>
        <w:tabs>
          <w:tab w:leader="none" w:pos="1072"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 xml:space="preserve">. As compensation for the performance by the Executive of his/her obligations hereunder, during the Term, the Company shall pay the Executive cash compensation (inclusive of the statutory benefit contributions that the Company is required to set aside for the Executive under applicable law) pursuant 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subject to annual review and adjustment by the Board or any committee designated by the Board.</w:t>
      </w:r>
    </w:p>
    <w:p>
      <w:pPr>
        <w:spacing w:after="0" w:line="179" w:lineRule="exact"/>
        <w:rPr>
          <w:rFonts w:ascii="Times New Roman" w:cs="Times New Roman" w:eastAsia="Times New Roman" w:hAnsi="Times New Roman"/>
          <w:sz w:val="18"/>
          <w:szCs w:val="18"/>
          <w:color w:val="auto"/>
        </w:rPr>
      </w:pPr>
    </w:p>
    <w:p>
      <w:pPr>
        <w:jc w:val="both"/>
        <w:ind w:left="1072" w:hanging="424"/>
        <w:spacing w:after="0" w:line="266" w:lineRule="auto"/>
        <w:tabs>
          <w:tab w:leader="none" w:pos="1072"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Incentives</w:t>
      </w:r>
      <w:r>
        <w:rPr>
          <w:rFonts w:ascii="Times New Roman" w:cs="Times New Roman" w:eastAsia="Times New Roman" w:hAnsi="Times New Roman"/>
          <w:sz w:val="18"/>
          <w:szCs w:val="18"/>
          <w:color w:val="auto"/>
        </w:rPr>
        <w:t>. During the Term, the Executive shall be eligible to participate, at a level comparable to similarly situated executives of the Company, in such long-term compensation arrangements as may be authorized from time to time by the Board, including any share incentive plan the Company may adopt from time to time in its sole discretion.</w:t>
      </w:r>
    </w:p>
    <w:p>
      <w:pPr>
        <w:spacing w:after="0" w:line="175" w:lineRule="exact"/>
        <w:rPr>
          <w:rFonts w:ascii="Times New Roman" w:cs="Times New Roman" w:eastAsia="Times New Roman" w:hAnsi="Times New Roman"/>
          <w:sz w:val="18"/>
          <w:szCs w:val="18"/>
          <w:color w:val="auto"/>
        </w:rPr>
      </w:pPr>
    </w:p>
    <w:p>
      <w:pPr>
        <w:ind w:left="1072" w:hanging="424"/>
        <w:spacing w:after="0" w:line="261" w:lineRule="auto"/>
        <w:tabs>
          <w:tab w:leader="none" w:pos="1072"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Term, the Executive shall be entitled to participate in all of the employee benefit plans and arrangements made available by the Company to its similarly situated executives, including, but not limited to, any retirement plan, medical insurance plan and travel/holiday policy, subject to and on a basis consistent with the terms, conditions and overall administration of such plans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503" w:name="page504"/>
    <w:bookmarkEnd w:id="503"/>
    <w:p>
      <w:pPr>
        <w:ind w:left="652" w:hanging="652"/>
        <w:spacing w:after="0"/>
        <w:tabs>
          <w:tab w:leader="none" w:pos="652"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AGREEMENT</w:t>
      </w:r>
    </w:p>
    <w:p>
      <w:pPr>
        <w:spacing w:after="0" w:line="229"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The Employment may be terminated as follows:</w:t>
      </w:r>
    </w:p>
    <w:p>
      <w:pPr>
        <w:spacing w:after="0" w:line="225" w:lineRule="exact"/>
        <w:rPr>
          <w:sz w:val="20"/>
          <w:szCs w:val="20"/>
          <w:color w:val="auto"/>
        </w:rPr>
      </w:pPr>
    </w:p>
    <w:p>
      <w:pPr>
        <w:ind w:left="1072" w:hanging="424"/>
        <w:spacing w:after="0"/>
        <w:tabs>
          <w:tab w:leader="none" w:pos="107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Employment shall terminate upon the Executive’s death.</w:t>
      </w:r>
    </w:p>
    <w:p>
      <w:pPr>
        <w:spacing w:after="0" w:line="225" w:lineRule="exact"/>
        <w:rPr>
          <w:rFonts w:ascii="Times New Roman" w:cs="Times New Roman" w:eastAsia="Times New Roman" w:hAnsi="Times New Roman"/>
          <w:sz w:val="18"/>
          <w:szCs w:val="18"/>
          <w:color w:val="auto"/>
        </w:rPr>
      </w:pPr>
    </w:p>
    <w:p>
      <w:pPr>
        <w:ind w:left="1072" w:right="320" w:hanging="424"/>
        <w:spacing w:after="0" w:line="261" w:lineRule="auto"/>
        <w:tabs>
          <w:tab w:leader="none" w:pos="107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Employment shall terminate if the Executive has a disability, including any physical or mental impairment which, as reasonably determined by the Board, renders the Executive unable to perform the essential functions of his/her position at the Company, even with reasonable accommodation that does not impose an undue burden on the Company, for more than 180 days in any 12-month period, unless a longer period is required by applicable law, in which case that longer period shall apply.</w:t>
      </w:r>
    </w:p>
    <w:p>
      <w:pPr>
        <w:spacing w:after="0" w:line="179" w:lineRule="exact"/>
        <w:rPr>
          <w:rFonts w:ascii="Times New Roman" w:cs="Times New Roman" w:eastAsia="Times New Roman" w:hAnsi="Times New Roman"/>
          <w:sz w:val="18"/>
          <w:szCs w:val="18"/>
          <w:color w:val="auto"/>
        </w:rPr>
      </w:pPr>
    </w:p>
    <w:p>
      <w:pPr>
        <w:ind w:left="1072" w:right="160" w:hanging="424"/>
        <w:spacing w:after="0" w:line="258" w:lineRule="auto"/>
        <w:tabs>
          <w:tab w:leader="none" w:pos="107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the Executive’s employment hereunder for Cause. The occurrence of any of the following, as reasonably determined by the Company, shall be a reason for Cause, provided that, if the Company determines that the circumstances constituting Cause are curable, then such circumstances shall not constitute Cause unless and until the Executive has been informed by the Company of the existence of Cause and given an opportunity of ten business days to cure, and such Cause remains uncured at the end of such ten-day period:</w:t>
      </w:r>
    </w:p>
    <w:p>
      <w:pPr>
        <w:spacing w:after="0" w:line="183" w:lineRule="exact"/>
        <w:rPr>
          <w:rFonts w:ascii="Times New Roman" w:cs="Times New Roman" w:eastAsia="Times New Roman" w:hAnsi="Times New Roman"/>
          <w:sz w:val="18"/>
          <w:szCs w:val="18"/>
          <w:color w:val="auto"/>
        </w:rPr>
      </w:pPr>
    </w:p>
    <w:p>
      <w:pPr>
        <w:ind w:left="1892" w:hanging="596"/>
        <w:spacing w:after="0"/>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failure by the Executive to satisfactorily perform his/her duties;</w:t>
      </w:r>
    </w:p>
    <w:p>
      <w:pPr>
        <w:spacing w:after="0" w:line="225" w:lineRule="exact"/>
        <w:rPr>
          <w:rFonts w:ascii="Times New Roman" w:cs="Times New Roman" w:eastAsia="Times New Roman" w:hAnsi="Times New Roman"/>
          <w:sz w:val="18"/>
          <w:szCs w:val="18"/>
          <w:color w:val="auto"/>
        </w:rPr>
      </w:pPr>
    </w:p>
    <w:p>
      <w:pPr>
        <w:ind w:left="1892" w:right="1120" w:hanging="596"/>
        <w:spacing w:after="0" w:line="282" w:lineRule="auto"/>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by the Executive in the performance of his/her duties hereunder, including insubordination;</w:t>
      </w:r>
    </w:p>
    <w:p>
      <w:pPr>
        <w:spacing w:after="0" w:line="159" w:lineRule="exact"/>
        <w:rPr>
          <w:rFonts w:ascii="Times New Roman" w:cs="Times New Roman" w:eastAsia="Times New Roman" w:hAnsi="Times New Roman"/>
          <w:sz w:val="18"/>
          <w:szCs w:val="18"/>
          <w:color w:val="auto"/>
        </w:rPr>
      </w:pPr>
    </w:p>
    <w:p>
      <w:pPr>
        <w:ind w:left="1892" w:right="540" w:hanging="596"/>
        <w:spacing w:after="0" w:line="284" w:lineRule="auto"/>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conviction or entry of a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of any felony or any misdemeanor involving moral turpitude;</w:t>
      </w:r>
    </w:p>
    <w:p>
      <w:pPr>
        <w:spacing w:after="0" w:line="160" w:lineRule="exact"/>
        <w:rPr>
          <w:rFonts w:ascii="Times New Roman" w:cs="Times New Roman" w:eastAsia="Times New Roman" w:hAnsi="Times New Roman"/>
          <w:sz w:val="18"/>
          <w:szCs w:val="18"/>
          <w:color w:val="auto"/>
        </w:rPr>
      </w:pPr>
    </w:p>
    <w:p>
      <w:pPr>
        <w:jc w:val="both"/>
        <w:ind w:left="1892" w:right="640" w:hanging="596"/>
        <w:spacing w:after="0" w:line="289" w:lineRule="auto"/>
        <w:tabs>
          <w:tab w:leader="none" w:pos="1892"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commission of any act involving dishonesty that results in material financial, reputational or other harm, monetary or otherwise, to any member of the Group, including but not limited to an act constituting misappropriation or embezzlement of the property of any member of the Group as determined in good faith by the Board; or</w:t>
      </w:r>
    </w:p>
    <w:p>
      <w:pPr>
        <w:spacing w:after="0" w:line="157" w:lineRule="exact"/>
        <w:rPr>
          <w:rFonts w:ascii="Times New Roman" w:cs="Times New Roman" w:eastAsia="Times New Roman" w:hAnsi="Times New Roman"/>
          <w:sz w:val="17"/>
          <w:szCs w:val="17"/>
          <w:color w:val="auto"/>
        </w:rPr>
      </w:pPr>
    </w:p>
    <w:p>
      <w:pPr>
        <w:ind w:left="1892" w:hanging="596"/>
        <w:spacing w:after="0"/>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Executive of this Agreement.</w:t>
      </w:r>
    </w:p>
    <w:p>
      <w:pPr>
        <w:spacing w:after="0" w:line="225" w:lineRule="exact"/>
        <w:rPr>
          <w:rFonts w:ascii="Times New Roman" w:cs="Times New Roman" w:eastAsia="Times New Roman" w:hAnsi="Times New Roman"/>
          <w:sz w:val="18"/>
          <w:szCs w:val="18"/>
          <w:color w:val="auto"/>
        </w:rPr>
      </w:pPr>
    </w:p>
    <w:p>
      <w:pPr>
        <w:ind w:left="1072" w:hanging="424"/>
        <w:spacing w:after="0" w:line="261" w:lineRule="auto"/>
        <w:tabs>
          <w:tab w:leader="none" w:pos="107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The Executive may terminate his/her employment hereunder for “Good Reason” upon the occurrence, without the written consent of the Company, of an event constituting a material breach of this Agreement by the Company that has not been fully cured within ten business days after written notice thereof has been given by the Executive to the Company setting forth in sufficient detail the conduct or activities the Executive believes constitute grounds for Good Reason, including but not limited to:</w:t>
      </w:r>
    </w:p>
    <w:p>
      <w:pPr>
        <w:spacing w:after="0" w:line="179" w:lineRule="exact"/>
        <w:rPr>
          <w:rFonts w:ascii="Times New Roman" w:cs="Times New Roman" w:eastAsia="Times New Roman" w:hAnsi="Times New Roman"/>
          <w:sz w:val="18"/>
          <w:szCs w:val="18"/>
          <w:color w:val="auto"/>
        </w:rPr>
      </w:pPr>
    </w:p>
    <w:p>
      <w:pPr>
        <w:ind w:left="1892" w:right="240" w:hanging="596"/>
        <w:spacing w:after="0" w:line="266" w:lineRule="auto"/>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pay to the Executive any portion of the Executive’s current compensation or to pay to the Executive any portion of an installment of deferred compensation under any deferred compensation program of the Company, within 20 business days of the date such compensation is due; or</w:t>
      </w:r>
    </w:p>
    <w:p>
      <w:pPr>
        <w:spacing w:after="0" w:line="175" w:lineRule="exact"/>
        <w:rPr>
          <w:rFonts w:ascii="Times New Roman" w:cs="Times New Roman" w:eastAsia="Times New Roman" w:hAnsi="Times New Roman"/>
          <w:sz w:val="18"/>
          <w:szCs w:val="18"/>
          <w:color w:val="auto"/>
        </w:rPr>
      </w:pPr>
    </w:p>
    <w:p>
      <w:pPr>
        <w:ind w:left="1892" w:hanging="596"/>
        <w:spacing w:after="0"/>
        <w:tabs>
          <w:tab w:leader="none" w:pos="1892"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this Agreement.</w:t>
      </w:r>
    </w:p>
    <w:p>
      <w:pPr>
        <w:spacing w:after="0" w:line="225" w:lineRule="exact"/>
        <w:rPr>
          <w:rFonts w:ascii="Times New Roman" w:cs="Times New Roman" w:eastAsia="Times New Roman" w:hAnsi="Times New Roman"/>
          <w:sz w:val="18"/>
          <w:szCs w:val="18"/>
          <w:color w:val="auto"/>
        </w:rPr>
      </w:pPr>
    </w:p>
    <w:p>
      <w:pPr>
        <w:ind w:left="1072" w:right="520" w:hanging="424"/>
        <w:spacing w:after="0" w:line="266" w:lineRule="auto"/>
        <w:tabs>
          <w:tab w:leader="none" w:pos="107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 by the Company; Without Good Reason by the Executive</w:t>
      </w:r>
      <w:r>
        <w:rPr>
          <w:rFonts w:ascii="Times New Roman" w:cs="Times New Roman" w:eastAsia="Times New Roman" w:hAnsi="Times New Roman"/>
          <w:sz w:val="18"/>
          <w:szCs w:val="18"/>
          <w:color w:val="auto"/>
        </w:rPr>
        <w:t>. The Company may terminate the Executive’s employment hereunder at any time without Cause upon 60-day prior written notice to the Executive. The Executive may terminate the Executive’s employment voluntarily for any reason or no reason at any time by giving 60-day prior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504" w:name="page505"/>
    <w:bookmarkEnd w:id="504"/>
    <w:p>
      <w:pPr>
        <w:ind w:left="338" w:right="380" w:hanging="338"/>
        <w:spacing w:after="0" w:line="266" w:lineRule="auto"/>
        <w:tabs>
          <w:tab w:leader="none" w:pos="338"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the Executive’s employment under the Agreement shall be communicated by written notice of termination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from the terminating party to the other party. The notice of termination shall indicate the specific provision(s) of the Agreement relied upon in effecting the termination.</w:t>
      </w:r>
    </w:p>
    <w:p>
      <w:pPr>
        <w:spacing w:after="0" w:line="175" w:lineRule="exact"/>
        <w:rPr>
          <w:rFonts w:ascii="Times New Roman" w:cs="Times New Roman" w:eastAsia="Times New Roman" w:hAnsi="Times New Roman"/>
          <w:sz w:val="18"/>
          <w:szCs w:val="18"/>
          <w:color w:val="auto"/>
        </w:rPr>
      </w:pPr>
    </w:p>
    <w:p>
      <w:pPr>
        <w:ind w:left="338" w:right="560" w:hanging="338"/>
        <w:spacing w:after="0" w:line="282" w:lineRule="auto"/>
        <w:tabs>
          <w:tab w:leader="none" w:pos="338"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(1) the date set forth in the Notice of Termination, or (2) if the Executive’s employment is terminated by the Executive’s death, the date of his/her death.</w:t>
      </w:r>
    </w:p>
    <w:p>
      <w:pPr>
        <w:spacing w:after="0" w:line="161" w:lineRule="exact"/>
        <w:rPr>
          <w:rFonts w:ascii="Times New Roman" w:cs="Times New Roman" w:eastAsia="Times New Roman" w:hAnsi="Times New Roman"/>
          <w:sz w:val="18"/>
          <w:szCs w:val="18"/>
          <w:color w:val="auto"/>
        </w:rPr>
      </w:pPr>
    </w:p>
    <w:p>
      <w:pPr>
        <w:ind w:left="338" w:hanging="338"/>
        <w:spacing w:after="0"/>
        <w:tabs>
          <w:tab w:leader="none" w:pos="338"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upon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18" w:right="140" w:hanging="656"/>
        <w:spacing w:after="0" w:line="261" w:lineRule="auto"/>
        <w:tabs>
          <w:tab w:leader="none" w:pos="1318" w:val="left"/>
        </w:tabs>
        <w:numPr>
          <w:ilvl w:val="2"/>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Executive’s employment is terminated by reason of the Executive’s death, the Company shall have no further obligations to the Executive under this Agreement and the Executive’s benefits shall be determined under the Company’s retirement, insurance and other benefit and compensation plans or programs then in effect in accordance with the terms of such plans and programs.</w:t>
      </w:r>
    </w:p>
    <w:p>
      <w:pPr>
        <w:spacing w:after="0" w:line="179" w:lineRule="exact"/>
        <w:rPr>
          <w:rFonts w:ascii="Times New Roman" w:cs="Times New Roman" w:eastAsia="Times New Roman" w:hAnsi="Times New Roman"/>
          <w:sz w:val="18"/>
          <w:szCs w:val="18"/>
          <w:color w:val="auto"/>
        </w:rPr>
      </w:pPr>
    </w:p>
    <w:p>
      <w:pPr>
        <w:ind w:left="1258" w:right="60" w:hanging="596"/>
        <w:spacing w:after="0" w:line="256" w:lineRule="auto"/>
        <w:tabs>
          <w:tab w:leader="none" w:pos="1258" w:val="left"/>
        </w:tabs>
        <w:numPr>
          <w:ilvl w:val="2"/>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Company without Cause or by the Executive for Good Reason</w:t>
      </w:r>
      <w:r>
        <w:rPr>
          <w:rFonts w:ascii="Times New Roman" w:cs="Times New Roman" w:eastAsia="Times New Roman" w:hAnsi="Times New Roman"/>
          <w:sz w:val="18"/>
          <w:szCs w:val="18"/>
          <w:color w:val="auto"/>
        </w:rPr>
        <w:t>. If the Executive’s employment is terminated by the Company other than for Cause or by the Executive for Good Reason, the Company shall (A) continue to pay and otherwise provide to the Executive, during any notice period, all compensation, base salary and previously earned but unpaid incentive compensation, if any, and shall continue to allow the Executive to participate in any benefit plans in accordance with the terms of such plans during such notice period; and (B) pay to the Executive, in lieu of benefits under any severance plan or policy of the Company, any such amount as may be agreed between the Company and the Executive.</w:t>
      </w:r>
    </w:p>
    <w:p>
      <w:pPr>
        <w:spacing w:after="0" w:line="187" w:lineRule="exact"/>
        <w:rPr>
          <w:rFonts w:ascii="Times New Roman" w:cs="Times New Roman" w:eastAsia="Times New Roman" w:hAnsi="Times New Roman"/>
          <w:sz w:val="18"/>
          <w:szCs w:val="18"/>
          <w:color w:val="auto"/>
        </w:rPr>
      </w:pPr>
    </w:p>
    <w:p>
      <w:pPr>
        <w:ind w:left="1258" w:right="220" w:hanging="596"/>
        <w:spacing w:after="0" w:line="261" w:lineRule="auto"/>
        <w:tabs>
          <w:tab w:leader="none" w:pos="1258" w:val="left"/>
        </w:tabs>
        <w:numPr>
          <w:ilvl w:val="2"/>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Company for Cause or by the Executive other than for Good Reason</w:t>
      </w:r>
      <w:r>
        <w:rPr>
          <w:rFonts w:ascii="Times New Roman" w:cs="Times New Roman" w:eastAsia="Times New Roman" w:hAnsi="Times New Roman"/>
          <w:sz w:val="18"/>
          <w:szCs w:val="18"/>
          <w:color w:val="auto"/>
        </w:rPr>
        <w:t>. If the Executive’s employment shall be terminated by the Company for Cause or by the Executive other than for Good Reason, the Company shall pay the Executive his/her base salary at the rate in effect at the time Notice of Termination is given through the Date of Termination, and the Company shall have no additional obligations to the Executive under this Agreement.</w:t>
      </w:r>
    </w:p>
    <w:p>
      <w:pPr>
        <w:spacing w:after="0" w:line="179" w:lineRule="exact"/>
        <w:rPr>
          <w:rFonts w:ascii="Times New Roman" w:cs="Times New Roman" w:eastAsia="Times New Roman" w:hAnsi="Times New Roman"/>
          <w:sz w:val="18"/>
          <w:szCs w:val="18"/>
          <w:color w:val="auto"/>
        </w:rPr>
      </w:pPr>
    </w:p>
    <w:p>
      <w:pPr>
        <w:ind w:left="438" w:right="60" w:hanging="424"/>
        <w:spacing w:after="0" w:line="256" w:lineRule="auto"/>
        <w:tabs>
          <w:tab w:leader="none" w:pos="438"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The Executive agrees that following the termination of the Executive’s employment for any reason, or at any time prior to the Executive’s termination upon the request of the Company, he/she shall return all property of the Group that is then in or thereafter comes into his/her possession, including, but not limited to, any Confidential Information (as defined below) or Intellectual Property (as defined below), or any other documents, contracts, agreements, plans, photographs, projections, books, notes, records, electronically stored data, and all copies, excerpts, or summaries of the foregoing, as well as any automobile or other materials or equipment supplied by the Group to the Executive, if any.</w:t>
      </w:r>
    </w:p>
    <w:p>
      <w:pPr>
        <w:spacing w:after="0" w:line="187" w:lineRule="exact"/>
        <w:rPr>
          <w:rFonts w:ascii="Times New Roman" w:cs="Times New Roman" w:eastAsia="Times New Roman" w:hAnsi="Times New Roman"/>
          <w:sz w:val="18"/>
          <w:szCs w:val="18"/>
          <w:color w:val="auto"/>
        </w:rPr>
      </w:pPr>
    </w:p>
    <w:p>
      <w:pPr>
        <w:ind w:left="438" w:hanging="424"/>
        <w:spacing w:after="0" w:line="266" w:lineRule="auto"/>
        <w:tabs>
          <w:tab w:leader="none" w:pos="438"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for a Release</w:t>
      </w:r>
      <w:r>
        <w:rPr>
          <w:rFonts w:ascii="Times New Roman" w:cs="Times New Roman" w:eastAsia="Times New Roman" w:hAnsi="Times New Roman"/>
          <w:sz w:val="18"/>
          <w:szCs w:val="18"/>
          <w:color w:val="auto"/>
        </w:rPr>
        <w:t>. Notwithstanding the foregoing, the Company’s obligations to pay or provide any benefits shall (1) cease as of the date the Executive breaches any of the provisions of Sections 8, 9, and 11 hereof, and (2) be conditioned on the Executive signing the Company’s customary release of claims in favor of the Group and the expiration of any revocation period provided for in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414655</wp:posOffset>
            </wp:positionV>
            <wp:extent cx="713232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4" w:right="339" w:bottom="1440" w:gutter="0" w:footer="0" w:header="0"/>
        </w:sectPr>
      </w:pPr>
    </w:p>
    <w:bookmarkStart w:id="505" w:name="page506"/>
    <w:bookmarkEnd w:id="505"/>
    <w:p>
      <w:pPr>
        <w:ind w:left="652" w:hanging="652"/>
        <w:spacing w:after="0"/>
        <w:tabs>
          <w:tab w:leader="none" w:pos="652"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AND NONDISCLOSURE</w:t>
      </w:r>
    </w:p>
    <w:p>
      <w:pPr>
        <w:spacing w:after="0" w:line="229" w:lineRule="exact"/>
        <w:rPr>
          <w:rFonts w:ascii="Times New Roman" w:cs="Times New Roman" w:eastAsia="Times New Roman" w:hAnsi="Times New Roman"/>
          <w:sz w:val="18"/>
          <w:szCs w:val="18"/>
          <w:b w:val="1"/>
          <w:bCs w:val="1"/>
          <w:color w:val="auto"/>
        </w:rPr>
      </w:pPr>
    </w:p>
    <w:p>
      <w:pPr>
        <w:ind w:left="1072" w:hanging="424"/>
        <w:spacing w:after="0"/>
        <w:tabs>
          <w:tab w:leader="none" w:pos="1072"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Non-Disclosure.</w:t>
      </w:r>
    </w:p>
    <w:p>
      <w:pPr>
        <w:spacing w:after="0" w:line="225" w:lineRule="exact"/>
        <w:rPr>
          <w:rFonts w:ascii="Times New Roman" w:cs="Times New Roman" w:eastAsia="Times New Roman" w:hAnsi="Times New Roman"/>
          <w:sz w:val="18"/>
          <w:szCs w:val="18"/>
          <w:color w:val="auto"/>
        </w:rPr>
      </w:pPr>
    </w:p>
    <w:p>
      <w:pPr>
        <w:ind w:left="1892" w:hanging="596"/>
        <w:spacing w:after="0" w:line="253" w:lineRule="auto"/>
        <w:tabs>
          <w:tab w:leader="none" w:pos="1892"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that: (A) the Executive holds a position of trust and confidence with the Company and that his/her employment by the Company will require that the Executive have access to and knowledge of valuable and sensitive information, material, and devices relating to the Company and/or its business, activities, products, services, business partners, customers, and vendors, including, but not limited to, the following, regardless of the form in which the same is accessed, maintained or stored: the identity of the Company’s actual and prospective customers and, as applicable, their representatives; prior, current or future research or development activities of the Company; the products and services provided or offered by the Company to customers or potential customers and the manner in which such services are performed or to be performed; the product and/or service needs of actual or prospective customers; pricing and cost information; information concerning the development, engineering, design, specifications, acquisition or disposition of products, and/or services of the Company; user base personal data, programs, software and source codes, licensing information, personnel information, advertising client information, vendor information, marketing plans and techniques, forecasts, and other trade secrets (“Confidential Information”); and (B) the direct and indirect disclosure of any such Confidential Information would place the Company at a competitive disadvantage and would do damage, monetary or otherwise, to the Company’s business.</w:t>
      </w:r>
    </w:p>
    <w:p>
      <w:pPr>
        <w:spacing w:after="0" w:line="187" w:lineRule="exact"/>
        <w:rPr>
          <w:rFonts w:ascii="Times New Roman" w:cs="Times New Roman" w:eastAsia="Times New Roman" w:hAnsi="Times New Roman"/>
          <w:sz w:val="18"/>
          <w:szCs w:val="18"/>
          <w:color w:val="auto"/>
        </w:rPr>
      </w:pPr>
    </w:p>
    <w:p>
      <w:pPr>
        <w:ind w:left="1892" w:right="160" w:hanging="596"/>
        <w:spacing w:after="0" w:line="258" w:lineRule="auto"/>
        <w:tabs>
          <w:tab w:leader="none" w:pos="1892"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at all times thereafter, the Executive shall not, directly or indirectly, whether individually, as a director, stockholder, owner, partner, employee, consultant, principal or agent of any business, or in any other capacity, publish or make known, disclose, furnish, reproduce, make available, or utilize any of the Confidential Information without the prior express written approval of the Company, other than in the proper performance of the duties contemplated herein, unless and until such Confidential Information is or shall become general public knowledge through no fault of the Executive.</w:t>
      </w:r>
    </w:p>
    <w:p>
      <w:pPr>
        <w:spacing w:after="0" w:line="183" w:lineRule="exact"/>
        <w:rPr>
          <w:rFonts w:ascii="Times New Roman" w:cs="Times New Roman" w:eastAsia="Times New Roman" w:hAnsi="Times New Roman"/>
          <w:sz w:val="18"/>
          <w:szCs w:val="18"/>
          <w:color w:val="auto"/>
        </w:rPr>
      </w:pPr>
    </w:p>
    <w:p>
      <w:pPr>
        <w:ind w:left="1892" w:right="40" w:hanging="596"/>
        <w:spacing w:after="0" w:line="266" w:lineRule="auto"/>
        <w:tabs>
          <w:tab w:leader="none" w:pos="1892"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Executive is required by law to disclose any Confidential Information, the Executive agrees to give the Company prompt advance written notice thereof and to provide the Company with reasonable assistance in obtaining an order to protect the Confidential Information from public disclosure.</w:t>
      </w:r>
    </w:p>
    <w:p>
      <w:pPr>
        <w:spacing w:after="0" w:line="175" w:lineRule="exact"/>
        <w:rPr>
          <w:rFonts w:ascii="Times New Roman" w:cs="Times New Roman" w:eastAsia="Times New Roman" w:hAnsi="Times New Roman"/>
          <w:sz w:val="18"/>
          <w:szCs w:val="18"/>
          <w:color w:val="auto"/>
        </w:rPr>
      </w:pPr>
    </w:p>
    <w:p>
      <w:pPr>
        <w:ind w:left="1892" w:right="80" w:hanging="596"/>
        <w:spacing w:after="0" w:line="282" w:lineRule="auto"/>
        <w:tabs>
          <w:tab w:leader="none" w:pos="1892"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mark any Confidential Information as confidential shall not affect its status as Confidential Information under this Agreement.</w:t>
      </w:r>
    </w:p>
    <w:p>
      <w:pPr>
        <w:spacing w:after="0" w:line="162" w:lineRule="exact"/>
        <w:rPr>
          <w:sz w:val="20"/>
          <w:szCs w:val="20"/>
          <w:color w:val="auto"/>
        </w:rPr>
      </w:pPr>
    </w:p>
    <w:p>
      <w:pPr>
        <w:ind w:left="1072" w:hanging="424"/>
        <w:spacing w:after="0" w:line="274" w:lineRule="auto"/>
        <w:tabs>
          <w:tab w:leader="none" w:pos="1072"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Information in the Executive’s Possession</w:t>
      </w:r>
      <w:r>
        <w:rPr>
          <w:rFonts w:ascii="Times New Roman" w:cs="Times New Roman" w:eastAsia="Times New Roman" w:hAnsi="Times New Roman"/>
          <w:sz w:val="17"/>
          <w:szCs w:val="17"/>
          <w:color w:val="auto"/>
        </w:rPr>
        <w:t>. The Executive agrees that he/she shall not, during the Term, (1) improperly use or disclose any proprietary information or trade secrets of any former employer or other person or entity with which the Executive has an agreement or duty to keep in confidence information acquired by Executive, if any, or (2) bring into the premises of Company any document or confidential or proprietary information belonging to such former employer, person or entity unless consented to in writing by such former employer, person or entity. The Executive will indemnify the Company and hold it harmless from and against all claims, liabilities, damages and expenses, including reasonable attorneys’ fees and costs of litigation, arising out of or in connection with any violation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23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506" w:name="page507"/>
    <w:bookmarkEnd w:id="506"/>
    <w:p>
      <w:pPr>
        <w:ind w:left="1072" w:hanging="424"/>
        <w:spacing w:after="0" w:line="256" w:lineRule="auto"/>
        <w:tabs>
          <w:tab w:leader="none" w:pos="1072"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 in the Company’s Possession</w:t>
      </w:r>
      <w:r>
        <w:rPr>
          <w:rFonts w:ascii="Times New Roman" w:cs="Times New Roman" w:eastAsia="Times New Roman" w:hAnsi="Times New Roman"/>
          <w:sz w:val="18"/>
          <w:szCs w:val="18"/>
          <w:color w:val="auto"/>
        </w:rPr>
        <w:t>. The Executive recognizes that the Company may have received, and in the future may receive, from third parties their confidential or proprietary information subject to a duty on the Company’s part to maintain the confidentiality of such information and to use it only for certain limited purposes. The Executive agrees that the Executive owes the Company and such third parties, during the Term and thereafter, a duty to hold all such confidential or proprietary information in strict confidence and not to disclose such information to any person or firm, or otherwise use such information, in a manner inconsistent with the limited purposes permitted by the Company’s agreement with such third party.</w:t>
      </w:r>
    </w:p>
    <w:p>
      <w:pPr>
        <w:spacing w:after="0" w:line="187" w:lineRule="exact"/>
        <w:rPr>
          <w:sz w:val="20"/>
          <w:szCs w:val="20"/>
          <w:color w:val="auto"/>
        </w:rPr>
      </w:pPr>
    </w:p>
    <w:p>
      <w:pPr>
        <w:ind w:left="652" w:right="360"/>
        <w:spacing w:after="0" w:line="282" w:lineRule="auto"/>
        <w:rPr>
          <w:sz w:val="20"/>
          <w:szCs w:val="20"/>
          <w:color w:val="auto"/>
        </w:rPr>
      </w:pPr>
      <w:r>
        <w:rPr>
          <w:rFonts w:ascii="Times New Roman" w:cs="Times New Roman" w:eastAsia="Times New Roman" w:hAnsi="Times New Roman"/>
          <w:sz w:val="18"/>
          <w:szCs w:val="18"/>
          <w:color w:val="auto"/>
        </w:rPr>
        <w:t>This Section 8 shall survive the termination of the Agreement for any reason. In the event the Executive breaches this Section 8, the Company shall have right to seek remedies permissible under applicable law.</w:t>
      </w:r>
    </w:p>
    <w:p>
      <w:pPr>
        <w:spacing w:after="0" w:line="158" w:lineRule="exact"/>
        <w:rPr>
          <w:sz w:val="20"/>
          <w:szCs w:val="20"/>
          <w:color w:val="auto"/>
        </w:rPr>
      </w:pPr>
    </w:p>
    <w:p>
      <w:pPr>
        <w:ind w:left="652" w:hanging="652"/>
        <w:spacing w:after="0"/>
        <w:tabs>
          <w:tab w:leader="none" w:pos="652"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rFonts w:ascii="Times New Roman" w:cs="Times New Roman" w:eastAsia="Times New Roman" w:hAnsi="Times New Roman"/>
          <w:sz w:val="18"/>
          <w:szCs w:val="18"/>
          <w:b w:val="1"/>
          <w:bCs w:val="1"/>
          <w:color w:val="auto"/>
        </w:rPr>
      </w:pPr>
    </w:p>
    <w:p>
      <w:pPr>
        <w:ind w:left="1072" w:right="100" w:hanging="424"/>
        <w:spacing w:after="0" w:line="253" w:lineRule="auto"/>
        <w:tabs>
          <w:tab w:leader="none" w:pos="1072"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The Executive has attached hereto, as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 list describing all inventions, ideas, improvements, designs and discoveries, whether or not patentable and whether or not reduced to practice, original works of authorship and trade secrets made or conceived by or belonging to the Executive (whether made solely by the Executive or jointly with others) that (1) were developed by Executive prior to the Executive’s employment by the Company (collectively,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(2) relate to the Company’ actual or proposed business, products or research and development, and (3) are not assigned to the Company hereunder; or, if no such list is attached, the Executive represents that there are no such Prior Inventions. Except to the extent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the Executive hereby acknowledges that, if in the course of his/her service for the Company, the Executive incorporates into a Company product, process or machine a Prior Invention owned by the Executive or in which he/she has an interest, the Company is hereby granted and shall have a nonexclusive, royalty-free, irrevocable, perpetual, worldwide right and license (which may be freely transferred by the Company to any other person or entity) to make, have made, modify, use, sell, sublicense and otherwise distribute such Prior Invention as part of or in connection with such product, process or machine.</w:t>
      </w:r>
    </w:p>
    <w:p>
      <w:pPr>
        <w:spacing w:after="0" w:line="191" w:lineRule="exact"/>
        <w:rPr>
          <w:rFonts w:ascii="Times New Roman" w:cs="Times New Roman" w:eastAsia="Times New Roman" w:hAnsi="Times New Roman"/>
          <w:sz w:val="18"/>
          <w:szCs w:val="18"/>
          <w:color w:val="auto"/>
        </w:rPr>
      </w:pPr>
    </w:p>
    <w:p>
      <w:pPr>
        <w:ind w:left="1072" w:hanging="424"/>
        <w:spacing w:after="0" w:line="253" w:lineRule="auto"/>
        <w:tabs>
          <w:tab w:leader="none" w:pos="1072"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Intellectual Property.</w:t>
      </w:r>
      <w:r>
        <w:rPr>
          <w:rFonts w:ascii="Times New Roman" w:cs="Times New Roman" w:eastAsia="Times New Roman" w:hAnsi="Times New Roman"/>
          <w:sz w:val="18"/>
          <w:szCs w:val="18"/>
          <w:color w:val="auto"/>
        </w:rPr>
        <w:t xml:space="preserve"> The Executive hereby assigns to the Company or its designees, without further consideration and free and clear of any lien or encumbrance, the Executive’s entire right, title, and interest (within the United States and all foreign jurisdictions) to any and all inventions, discoveries, improvements, developments, works of authorship, concepts, ideas, plans, specifications, software, formulas, databases, designees, processes and contributions to Confidential Information created, conceived, developed or reduced to practice by the Executive (alone or with others) during the Term which (1) are related to the Company’s current or anticipated business, activities, products, or services, (2) result from any work performed by Executive for the Company, or (3) are created, conceived, developed or reduced to practice with the use of Company property, including any and all Intellectual Property Rights (as defined below) therein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Any Work Product which falls within the definition of “work made for hire,” as such term is defined in the U.S. Copyright Act, shall be considered a “work made for hire,” the copyright in which vests initially and exclusively in the Company. The Executive waives any rights to be attributed as the author of any Work Product and any “droit morale” (moral rights) in Work Product. The Executive agrees to immediately disclose to the Company all Work Product. For purposes of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any patent, copyright, trademark or service mark, trade secret, or any other proprietary rights protection legally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3232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07" w:name="page508"/>
    <w:bookmarkEnd w:id="507"/>
    <w:p>
      <w:pPr>
        <w:ind w:left="1072" w:hanging="424"/>
        <w:spacing w:after="0" w:line="253" w:lineRule="auto"/>
        <w:tabs>
          <w:tab w:leader="none" w:pos="1072"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and Copyright Registration.</w:t>
      </w:r>
      <w:r>
        <w:rPr>
          <w:rFonts w:ascii="Times New Roman" w:cs="Times New Roman" w:eastAsia="Times New Roman" w:hAnsi="Times New Roman"/>
          <w:sz w:val="18"/>
          <w:szCs w:val="18"/>
          <w:color w:val="auto"/>
        </w:rPr>
        <w:t xml:space="preserve"> The Executive agrees to execute and deliver any instruments or documents and to do all other things reasonably requested by the Company in order to more fully vest the Company with all ownership rights in the Work Product. If any Work Product is deemed by the Company to be patentable or otherwise registrable, the Executive shall assist the Company (at the Company’s expense) in obtaining letters of patent or other applicable registration therein and shall execute all documents and do all things, including testifying (at the Company’s expense) as necessary or appropriate to apply for, prosecute, obtain, or enforce any Intellectual Property right relating to any Work Product. Should the Company be unable to secure the Executive’s signature on any document deemed necessary to accomplish the foregoing, whether due to the Executive’s disability or other reason, the Executive hereby irrevocably designates and appoints the Company and each of its duly authorized officers and agents as the Executive’s agent and attorney-in-fact to act for and on the Executive’s behalf and stead to take any of the actions required of Executive under the previous sentence, with the same effect as if executed and delivered by the Executive, such appointment being coupled with an interest.</w:t>
      </w:r>
    </w:p>
    <w:p>
      <w:pPr>
        <w:spacing w:after="0" w:line="194" w:lineRule="exact"/>
        <w:rPr>
          <w:rFonts w:ascii="Times New Roman" w:cs="Times New Roman" w:eastAsia="Times New Roman" w:hAnsi="Times New Roman"/>
          <w:sz w:val="18"/>
          <w:szCs w:val="18"/>
          <w:color w:val="auto"/>
        </w:rPr>
      </w:pPr>
    </w:p>
    <w:p>
      <w:pPr>
        <w:ind w:left="1072"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9 shall survive the termination of the Agreement for any reason. In the event the Executive breaches this Section 9, the Company shall have right to seek remedies permissible under applicable law.</w:t>
      </w:r>
    </w:p>
    <w:p>
      <w:pPr>
        <w:spacing w:after="0" w:line="18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CONFLICTING EMPLOYMENT</w:t>
      </w:r>
    </w:p>
    <w:p>
      <w:pPr>
        <w:spacing w:after="0" w:line="229" w:lineRule="exact"/>
        <w:rPr>
          <w:rFonts w:ascii="Times New Roman" w:cs="Times New Roman" w:eastAsia="Times New Roman" w:hAnsi="Times New Roman"/>
          <w:sz w:val="18"/>
          <w:szCs w:val="18"/>
          <w:b w:val="1"/>
          <w:bCs w:val="1"/>
          <w:color w:val="auto"/>
        </w:rPr>
      </w:pPr>
    </w:p>
    <w:p>
      <w:pPr>
        <w:ind w:left="65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hereby agrees that, during the Term, he/she will not engage in any other employment, occupation, consulting or other business activity related to the business in which the Company is now involved or becomes involved during the Term, nor will the Executive engage in any other activities that conflict with his/her obligations to the Company without the prior written consent of the Company.</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AND NON-SOLICITATION</w:t>
      </w:r>
    </w:p>
    <w:p>
      <w:pPr>
        <w:spacing w:after="0" w:line="229" w:lineRule="exact"/>
        <w:rPr>
          <w:rFonts w:ascii="Times New Roman" w:cs="Times New Roman" w:eastAsia="Times New Roman" w:hAnsi="Times New Roman"/>
          <w:sz w:val="18"/>
          <w:szCs w:val="18"/>
          <w:b w:val="1"/>
          <w:bCs w:val="1"/>
          <w:color w:val="auto"/>
        </w:rPr>
      </w:pPr>
    </w:p>
    <w:p>
      <w:pPr>
        <w:ind w:left="1072" w:hanging="424"/>
        <w:spacing w:after="0" w:line="254" w:lineRule="auto"/>
        <w:tabs>
          <w:tab w:leader="none" w:pos="1072"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of the compensation provided to the Executive by the Company hereunder, the adequacy of which is hereby acknowledged by the parties hereto, the Executive agree that during the Term and for a period of one year following the termination of the Employment for whatever reason, the Executive shall not engage in Competition (as defined below) with the Group. For purposes of this Agreement, “Competition” by the Executive shall mean the Executive’s engaging in, or otherwise directly or indirectly being employed by or acting as a consultant or lender to, or being a director, officer, employee, principal, agent, stockholder, member, owner or partner of, or permitting the Executive’s name to be used in connection with the activities of, any other business or organization which competes, directly or indirectly, with the Group in the Business;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it shall not be a violation of this Section 11(a) for the Executive to become the registered or beneficial owner of up to five percent (5%) of any class of the capital stock of a publicly traded corporation in Competition with the Group, provided that the Executive does not otherwise participate in the business of such corporation.</w:t>
      </w:r>
    </w:p>
    <w:p>
      <w:pPr>
        <w:spacing w:after="0" w:line="188" w:lineRule="exact"/>
        <w:rPr>
          <w:rFonts w:ascii="Times New Roman" w:cs="Times New Roman" w:eastAsia="Times New Roman" w:hAnsi="Times New Roman"/>
          <w:sz w:val="18"/>
          <w:szCs w:val="18"/>
          <w:color w:val="auto"/>
        </w:rPr>
      </w:pPr>
    </w:p>
    <w:p>
      <w:pPr>
        <w:ind w:left="1072"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any business that is substantially similar to, or is in direct or indirect competition or would potentially compete with, any businesses conducted by the Company or any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508" w:name="page509"/>
    <w:bookmarkEnd w:id="508"/>
    <w:p>
      <w:pPr>
        <w:ind w:left="1072" w:right="120" w:hanging="424"/>
        <w:spacing w:after="0" w:line="266" w:lineRule="auto"/>
        <w:tabs>
          <w:tab w:leader="none" w:pos="1072"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Non-Interference</w:t>
      </w:r>
      <w:r>
        <w:rPr>
          <w:rFonts w:ascii="Times New Roman" w:cs="Times New Roman" w:eastAsia="Times New Roman" w:hAnsi="Times New Roman"/>
          <w:sz w:val="18"/>
          <w:szCs w:val="18"/>
          <w:color w:val="auto"/>
        </w:rPr>
        <w:t>. During the Term and for a period of one year following the termination of the Executive’s employment for any reason, the Executive agrees that he/she will not, directly or indirectly, for the Executive’s benefit or for the benefit of any other person or entity, do any of the following:</w:t>
      </w:r>
    </w:p>
    <w:p>
      <w:pPr>
        <w:spacing w:after="0" w:line="175" w:lineRule="exact"/>
        <w:rPr>
          <w:rFonts w:ascii="Times New Roman" w:cs="Times New Roman" w:eastAsia="Times New Roman" w:hAnsi="Times New Roman"/>
          <w:sz w:val="18"/>
          <w:szCs w:val="18"/>
          <w:color w:val="auto"/>
        </w:rPr>
      </w:pPr>
    </w:p>
    <w:p>
      <w:pPr>
        <w:ind w:left="1892" w:right="40" w:hanging="596"/>
        <w:spacing w:after="0" w:line="282" w:lineRule="auto"/>
        <w:tabs>
          <w:tab w:leader="none" w:pos="1892"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customer or business partner doing business with the Group during the Term business of the same or of a similar nature to the Business;</w:t>
      </w:r>
    </w:p>
    <w:p>
      <w:pPr>
        <w:spacing w:after="0" w:line="161" w:lineRule="exact"/>
        <w:rPr>
          <w:rFonts w:ascii="Times New Roman" w:cs="Times New Roman" w:eastAsia="Times New Roman" w:hAnsi="Times New Roman"/>
          <w:sz w:val="18"/>
          <w:szCs w:val="18"/>
          <w:color w:val="auto"/>
        </w:rPr>
      </w:pPr>
    </w:p>
    <w:p>
      <w:pPr>
        <w:ind w:left="1892" w:right="60" w:hanging="596"/>
        <w:spacing w:after="0" w:line="266" w:lineRule="auto"/>
        <w:tabs>
          <w:tab w:leader="none" w:pos="1892"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known potential customer of the Group business of the same or of a similar nature to that which has been the subject of a known written or oral bid, offer or proposal by the Group, or of substantial preparation with a view to making such a bid, proposal or offer;</w:t>
      </w:r>
    </w:p>
    <w:p>
      <w:pPr>
        <w:spacing w:after="0" w:line="175" w:lineRule="exact"/>
        <w:rPr>
          <w:rFonts w:ascii="Times New Roman" w:cs="Times New Roman" w:eastAsia="Times New Roman" w:hAnsi="Times New Roman"/>
          <w:sz w:val="18"/>
          <w:szCs w:val="18"/>
          <w:color w:val="auto"/>
        </w:rPr>
      </w:pPr>
    </w:p>
    <w:p>
      <w:pPr>
        <w:ind w:left="1892" w:hanging="596"/>
        <w:spacing w:after="0"/>
        <w:tabs>
          <w:tab w:leader="none" w:pos="1892"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the employment or services of, or hire or engage, any person who is known to be employed or engaged by the Group; or</w:t>
      </w:r>
    </w:p>
    <w:p>
      <w:pPr>
        <w:spacing w:after="0" w:line="225" w:lineRule="exact"/>
        <w:rPr>
          <w:rFonts w:ascii="Times New Roman" w:cs="Times New Roman" w:eastAsia="Times New Roman" w:hAnsi="Times New Roman"/>
          <w:sz w:val="18"/>
          <w:szCs w:val="18"/>
          <w:color w:val="auto"/>
        </w:rPr>
      </w:pPr>
    </w:p>
    <w:p>
      <w:pPr>
        <w:ind w:left="1892" w:right="200" w:hanging="596"/>
        <w:spacing w:after="0" w:line="282" w:lineRule="auto"/>
        <w:tabs>
          <w:tab w:leader="none" w:pos="1892"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interfere with the business or accounts of the Group, including, but not limited to, with respect to any relationship or agreement between the Group and any vendor or supplier.</w:t>
      </w:r>
    </w:p>
    <w:p>
      <w:pPr>
        <w:spacing w:after="0" w:line="161" w:lineRule="exact"/>
        <w:rPr>
          <w:rFonts w:ascii="Times New Roman" w:cs="Times New Roman" w:eastAsia="Times New Roman" w:hAnsi="Times New Roman"/>
          <w:sz w:val="18"/>
          <w:szCs w:val="18"/>
          <w:color w:val="auto"/>
        </w:rPr>
      </w:pPr>
    </w:p>
    <w:p>
      <w:pPr>
        <w:ind w:left="1072" w:hanging="424"/>
        <w:spacing w:after="0" w:line="253" w:lineRule="auto"/>
        <w:tabs>
          <w:tab w:leader="none" w:pos="1072"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Indemnity of Company</w:t>
      </w:r>
      <w:r>
        <w:rPr>
          <w:rFonts w:ascii="Times New Roman" w:cs="Times New Roman" w:eastAsia="Times New Roman" w:hAnsi="Times New Roman"/>
          <w:sz w:val="18"/>
          <w:szCs w:val="18"/>
          <w:color w:val="auto"/>
        </w:rPr>
        <w:t>. The Executive agrees that any breach or threatened breach of subsections (a) and (b) of this Section 11 would result in irreparable injury and damage to the Company for which an award of money to the Company would not be an adequate remedy. The Executive therefore also agrees that in the event of said breach or any reasonable threat of breach, the Company shall be entitled to seek an immediate injunction and restraining order to prevent such breach and/or threatened breach and/or continued breach by the Executive and/or any and all persons and/or entities acting for and/or with the Executive. The terms of this paragraph shall not prevent the Company from pursuing any other available remedies for any breach or threatened breach hereof, including, but not limited to, remedies available under this Agreement and the recovery of damages. The Executive and the Company further agree that the provisions of this Section 11 are reasonable. The Executive agrees to indemnify and hold harmless the Company from and against all reasonable expenses (including reasonable fees and disbursements of counsel) which may be incurred by the Company in connection with, or arising out of, any violation of this Agreement by the Executive. This Section 11 shall survive the termination of the Agreement for any reason.</w:t>
      </w:r>
    </w:p>
    <w:p>
      <w:pPr>
        <w:spacing w:after="0" w:line="19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29" w:lineRule="exact"/>
        <w:rPr>
          <w:rFonts w:ascii="Times New Roman" w:cs="Times New Roman" w:eastAsia="Times New Roman" w:hAnsi="Times New Roman"/>
          <w:sz w:val="18"/>
          <w:szCs w:val="18"/>
          <w:b w:val="1"/>
          <w:bCs w:val="1"/>
          <w:color w:val="auto"/>
        </w:rPr>
      </w:pPr>
    </w:p>
    <w:p>
      <w:pPr>
        <w:ind w:left="652"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else herein to the contrary, the Company may withhold (or cause there to be withheld, as the case may be) from any amounts otherwise due or payable under or pursuant to the Agreement such national, state, provincial, local or any other income, employment, or other taxes as may be required to be withheld pursuant to any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509" w:name="page510"/>
    <w:bookmarkEnd w:id="509"/>
    <w:p>
      <w:pPr>
        <w:ind w:left="652" w:hanging="652"/>
        <w:spacing w:after="0"/>
        <w:tabs>
          <w:tab w:leader="none" w:pos="652"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65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is personal in its nature and neither of the parties hereto shall, without the consent of the other, assign or transfer the Agreement or any rights or obligations hereunder; provided, however, that the Company may assign or transfer the Agreement or any rights or obligations hereunder to any member of the Group without such consent. If the Executive should die while any amounts would still be payable to the Executive hereunder if the Executive had continued to live, all such amounts unless otherwise provided herein shall be paid in accordance with the terms of this Agreement to the Executive’s devisee, legatee, or other designee or, if there be no such designee, to the Executive’s estate. The Company will require any and all successors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Company had terminated the Executive’s employment other than for Cause, except that for purposes of implementing the foregoing, the date on which any such succession becomes effective shall be deemed the Date of Termination. As used in this Section 13, “Company” shall mean the Company as herein before defined and any successor to its business and/or assets as aforesaid which executes and delivers the agreement provided for in this Section 13 or which otherwise becomes bound by all the terms and provisions of this Agreement by operation of law.</w:t>
      </w:r>
    </w:p>
    <w:p>
      <w:pPr>
        <w:spacing w:after="0" w:line="193"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b w:val="1"/>
          <w:bCs w:val="1"/>
          <w:color w:val="auto"/>
        </w:rPr>
      </w:pPr>
    </w:p>
    <w:p>
      <w:pPr>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Agreement or the application thereof is held invalid, the invalidity shall not affect other provisions or applications of the Agreement which can be given effect without the invalid provisions or applications and to this end the provisions of the Agreement are declared to be severable.</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constitutes the entire agreement and understanding between the Executive and the Company regarding the terms of the Employment and supersedes all prior or contemporaneous oral or written agreements concerning such subject matter. The Executive acknowledges that he/she has not entered into the Agreement in reliance upon any representation, warranty or undertaking which is not set forth in the Agreement.</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shall be governed by and construed in accordance with the laws of the State of New York.</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229" w:lineRule="exact"/>
        <w:rPr>
          <w:rFonts w:ascii="Times New Roman" w:cs="Times New Roman" w:eastAsia="Times New Roman" w:hAnsi="Times New Roman"/>
          <w:sz w:val="18"/>
          <w:szCs w:val="18"/>
          <w:b w:val="1"/>
          <w:bCs w:val="1"/>
          <w:color w:val="auto"/>
        </w:rPr>
      </w:pPr>
    </w:p>
    <w:p>
      <w:pPr>
        <w:ind w:left="652"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may not be amended, modified or changed (in whole or in part), except by a formal, definitive written agreement expressly referring to the Agreement, which agreement is executed by both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510" w:name="page511"/>
    <w:bookmarkEnd w:id="510"/>
    <w:p>
      <w:pPr>
        <w:ind w:left="652" w:hanging="652"/>
        <w:spacing w:after="0"/>
        <w:tabs>
          <w:tab w:leader="none" w:pos="652"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229" w:lineRule="exact"/>
        <w:rPr>
          <w:rFonts w:ascii="Times New Roman" w:cs="Times New Roman" w:eastAsia="Times New Roman" w:hAnsi="Times New Roman"/>
          <w:sz w:val="18"/>
          <w:szCs w:val="18"/>
          <w:b w:val="1"/>
          <w:bCs w:val="1"/>
          <w:color w:val="auto"/>
        </w:rPr>
      </w:pPr>
    </w:p>
    <w:p>
      <w:pPr>
        <w:ind w:left="652"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failure nor any delay on the part of a party to exercise any right, remedy, power or privilege under the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79"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65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notices, requests, demands, and other communications required or permitted under the Agreement shall be in writing and shall be deemed to have been duly given and made if (i) delivered by hand, (ii) otherwise delivered against receipt therefor, (iii) sent by a recognized courier with next-day or second-day delivery to the last known address of the other party; or (iv) sent by e-mail with confirmation of receipt.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jc w:val="both"/>
        <w:ind w:left="652"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may be executed in any number of counterparts, each of which shall be deemed an original as against any party whose signature appears thereon, and all of which together shall constitute one and the same instrument. The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INTERPRETATION AGAINST DRAFTER</w:t>
      </w:r>
    </w:p>
    <w:p>
      <w:pPr>
        <w:spacing w:after="0" w:line="229" w:lineRule="exact"/>
        <w:rPr>
          <w:sz w:val="20"/>
          <w:szCs w:val="20"/>
          <w:color w:val="auto"/>
        </w:rPr>
      </w:pPr>
    </w:p>
    <w:p>
      <w:pPr>
        <w:ind w:left="652"/>
        <w:spacing w:after="0" w:line="266" w:lineRule="auto"/>
        <w:rPr>
          <w:sz w:val="20"/>
          <w:szCs w:val="20"/>
          <w:color w:val="auto"/>
        </w:rPr>
      </w:pPr>
      <w:r>
        <w:rPr>
          <w:rFonts w:ascii="Times New Roman" w:cs="Times New Roman" w:eastAsia="Times New Roman" w:hAnsi="Times New Roman"/>
          <w:sz w:val="18"/>
          <w:szCs w:val="18"/>
          <w:color w:val="auto"/>
        </w:rPr>
        <w:t>Each party recognizes that the Agreement is a legally binding contract and acknowledges that such party has had the opportunity to consult with legal counsel of choice. In any construction of the terms of the Agreement, the same shall not be construed against either party on the basis of that party being the drafter of such terms.</w:t>
      </w:r>
    </w:p>
    <w:p>
      <w:pPr>
        <w:spacing w:after="0" w:line="17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0" w:right="41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7"/>
          <w:szCs w:val="17"/>
          <w:color w:val="auto"/>
        </w:rPr>
        <w:t>IN WITNESS WHEREOF, the Agreement has been executed as of the date first written above.</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21437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21437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512" w:name="page513"/>
    <w:bookmarkEnd w:id="512"/>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u w:val="single" w:color="auto"/>
          <w:color w:val="auto"/>
        </w:rPr>
        <w:t>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3" w:name="page514"/>
    <w:bookmarkEnd w:id="513"/>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List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4" w:name="page515"/>
    <w:bookmarkEnd w:id="514"/>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8440" w:type="dxa"/>
            <w:vAlign w:val="bottom"/>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Principal Subsidiaries of the Registrant*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38"/>
        </w:trPr>
        <w:tc>
          <w:tcPr>
            <w:tcW w:w="844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28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1"/>
        </w:trPr>
        <w:tc>
          <w:tcPr>
            <w:tcW w:w="8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Ninjas in Pyjamas Gaming AB</w:t>
            </w:r>
          </w:p>
        </w:tc>
        <w:tc>
          <w:tcPr>
            <w:tcW w:w="12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6"/>
                <w:szCs w:val="16"/>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ESVF (Hong Kong) Esports Limited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Muyecun Network Technology Co.,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Xingjingweiwu Culture &amp; Sports Development Co.,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Weiwu Esports Internet Technology Co.,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Hongli Culture Communications (Wuhan) Co., Ltd.</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bl>
    <w:p>
      <w:pPr>
        <w:spacing w:after="0" w:line="198" w:lineRule="exact"/>
        <w:rPr>
          <w:sz w:val="20"/>
          <w:szCs w:val="20"/>
          <w:color w:val="auto"/>
        </w:rPr>
      </w:pPr>
    </w:p>
    <w:p>
      <w:pPr>
        <w:ind w:right="560" w:firstLine="8"/>
        <w:spacing w:after="0" w:line="282" w:lineRule="auto"/>
        <w:tabs>
          <w:tab w:leader="none" w:pos="13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entities of NIP Group Inc. have been omitted from this list since, consolidated in the aggregate as a single entity, they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5" w:name="page516"/>
    <w:bookmarkEnd w:id="5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219960" cy="3771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2199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NIP Group Inc. on Form F-1 of our report dated June 12, 2024, with respect to our audits of the consolidated financial statements of NIP Group Inc. as of December 31, 2022 and 2023 and for the years ended December 31, 2022 and 2023,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07" w:lineRule="exact"/>
        <w:rPr>
          <w:sz w:val="20"/>
          <w:szCs w:val="20"/>
          <w:color w:val="auto"/>
        </w:rPr>
      </w:pPr>
    </w:p>
    <w:p>
      <w:pPr>
        <w:jc w:val="center"/>
        <w:ind w:left="340" w:right="420"/>
        <w:spacing w:after="0" w:line="282" w:lineRule="auto"/>
        <w:rPr>
          <w:sz w:val="20"/>
          <w:szCs w:val="20"/>
          <w:color w:val="auto"/>
        </w:rPr>
      </w:pPr>
      <w:r>
        <w:rPr>
          <w:rFonts w:ascii="Times New Roman" w:cs="Times New Roman" w:eastAsia="Times New Roman" w:hAnsi="Times New Roman"/>
          <w:sz w:val="18"/>
          <w:szCs w:val="18"/>
          <w:color w:val="auto"/>
        </w:rPr>
        <w:t>BEIJING OFFICE • Units 06-09 • 46th Floor • China World Tower B • No. 1 Jian Guo Men Wai Avenue • Chaoyang District • Beijing • 100004 Phone 646.442.4845 • Fax 646.349.5200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6" w:name="page517"/>
    <w:bookmarkEnd w:id="51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157480</wp:posOffset>
            </wp:positionV>
            <wp:extent cx="2271395" cy="3771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2713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NIP Group Inc. on Form F-1 of our report dated June 5, 2023, with respect to our audits of the consolidated financial statements of Ninjas in Pyjamas as of December 31, 2021 and 2022 and for the years ended December 31, 2021 and 2022,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07" w:lineRule="exact"/>
        <w:rPr>
          <w:sz w:val="20"/>
          <w:szCs w:val="20"/>
          <w:color w:val="auto"/>
        </w:rPr>
      </w:pPr>
    </w:p>
    <w:p>
      <w:pPr>
        <w:jc w:val="center"/>
        <w:ind w:left="340" w:right="420"/>
        <w:spacing w:after="0" w:line="282" w:lineRule="auto"/>
        <w:rPr>
          <w:sz w:val="20"/>
          <w:szCs w:val="20"/>
          <w:color w:val="auto"/>
        </w:rPr>
      </w:pPr>
      <w:r>
        <w:rPr>
          <w:rFonts w:ascii="Times New Roman" w:cs="Times New Roman" w:eastAsia="Times New Roman" w:hAnsi="Times New Roman"/>
          <w:sz w:val="18"/>
          <w:szCs w:val="18"/>
          <w:color w:val="auto"/>
        </w:rPr>
        <w:t>BEIJING OFFICE • Units 06-09 • 46th Floor • China World Tower B • No. 1 Jian Guo Men Wai Avenue • Chaoyang District • Beijing • 100004 Phone 646.442.4845 • Fax 646.349.5200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7" w:name="page518"/>
    <w:bookmarkEnd w:id="51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40" w:hanging="632"/>
        <w:spacing w:after="0"/>
        <w:tabs>
          <w:tab w:leader="none" w:pos="64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7"/>
          <w:szCs w:val="17"/>
          <w:color w:val="auto"/>
        </w:rPr>
        <w:t>This Code of Business Conduct and Ethics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contains general guidelines for conducting the business of NIP Group Inc., a Cayman Islands company, and its subsidiaries and affiliates (collectively,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we adhere to these higher standards.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Code is designed to deter wrongdoing and to promote:</w:t>
      </w:r>
    </w:p>
    <w:p>
      <w:pPr>
        <w:spacing w:after="0" w:line="225" w:lineRule="exact"/>
        <w:rPr>
          <w:sz w:val="20"/>
          <w:szCs w:val="20"/>
          <w:color w:val="auto"/>
        </w:rPr>
      </w:pPr>
    </w:p>
    <w:p>
      <w:pPr>
        <w:ind w:left="980" w:right="620" w:hanging="324"/>
        <w:spacing w:after="0" w:line="282" w:lineRule="auto"/>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the Company files with, or submits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in other public communications made by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violations of the Code;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Code applies to all directors, officers and employees of the Company, whether they work for the Company on a full-time, part-time,</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consultative or temporary basis (each,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Certain provisions of the Code apply specifically to our chief executive officer(s), chief financial officer, other executive officers, senior finance officer, controller, senior vice presidents, vice presidents and any other persons who perform similar functions for the Company (each, a “</w:t>
      </w:r>
      <w:r>
        <w:rPr>
          <w:rFonts w:ascii="Times New Roman" w:cs="Times New Roman" w:eastAsia="Times New Roman" w:hAnsi="Times New Roman"/>
          <w:sz w:val="18"/>
          <w:szCs w:val="18"/>
          <w:b w:val="1"/>
          <w:bCs w:val="1"/>
          <w:color w:val="auto"/>
        </w:rPr>
        <w:t>senior 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senior officers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appointed the Company’s chief financial officer as the Compliance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If you have any questions regarding the Code or would like to report any violation of the Code, please email the Compliance Officer at bl@nipgroup.gg.</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This Code has been adopted by the Board and shall become effective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upon the effectiveness of the Company’s registration statement on Form F-1 filed by the Company with the SEC relating to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8" w:name="page519"/>
    <w:bookmarkEnd w:id="518"/>
    <w:p>
      <w:pPr>
        <w:ind w:left="660" w:hanging="652"/>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Identifying Conflicts of Interest</w:t>
      </w:r>
    </w:p>
    <w:p>
      <w:pPr>
        <w:spacing w:after="0" w:line="229"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the following should be considered conflicts of interest:</w:t>
      </w:r>
    </w:p>
    <w:p>
      <w:pPr>
        <w:spacing w:after="0" w:line="158" w:lineRule="exact"/>
        <w:rPr>
          <w:sz w:val="20"/>
          <w:szCs w:val="20"/>
          <w:color w:val="auto"/>
        </w:rPr>
      </w:pPr>
    </w:p>
    <w:p>
      <w:pPr>
        <w:ind w:left="980" w:hanging="324"/>
        <w:spacing w:after="0"/>
        <w:tabs>
          <w:tab w:leader="none" w:pos="9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No employee may be employed by a business that competes with the Company or deprives it of any business.</w:t>
      </w:r>
    </w:p>
    <w:p>
      <w:pPr>
        <w:spacing w:after="0" w:line="22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No employee should use corporate property, information or his/her position with the Company to secure a business opportunity that would otherwise be available to the Company. If an employee discovers a business opportunity that is in the Company’s line of business through the use of the Company’s property, information or position, the employee must first present the business opportunity to the Company before pursuing the opportunity in his/her individual capacity.</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Interests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3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privately held company that is in competition with the Company;</w:t>
      </w:r>
    </w:p>
    <w:p>
      <w:pPr>
        <w:spacing w:after="0" w:line="22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may hold up to 5% ownership interest in a publicly traded company that is in competition with the Company; provided that if the employee’s ownership interest in such publicly traded company increases to more than 5%, the employee must immediately report such ownership to the Compliance Officer;</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company that has a business relationship with the Company if such employee’s duties at the Company include managing or supervising the Company’s business relations with that company;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Code,</w:t>
      </w:r>
    </w:p>
    <w:p>
      <w:pPr>
        <w:spacing w:after="0" w:line="221" w:lineRule="exact"/>
        <w:rPr>
          <w:rFonts w:ascii="Times New Roman" w:cs="Times New Roman" w:eastAsia="Times New Roman" w:hAnsi="Times New Roman"/>
          <w:sz w:val="18"/>
          <w:szCs w:val="18"/>
          <w:color w:val="auto"/>
        </w:rPr>
      </w:pPr>
    </w:p>
    <w:p>
      <w:pPr>
        <w:ind w:left="1620" w:right="260" w:hanging="316"/>
        <w:spacing w:after="0" w:line="268" w:lineRule="auto"/>
        <w:tabs>
          <w:tab w:leader="none" w:pos="1620" w:val="left"/>
        </w:tabs>
        <w:numPr>
          <w:ilvl w:val="2"/>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any family member of such director (collectively, “</w:t>
      </w:r>
      <w:r>
        <w:rPr>
          <w:rFonts w:ascii="Times New Roman" w:cs="Times New Roman" w:eastAsia="Times New Roman" w:hAnsi="Times New Roman"/>
          <w:sz w:val="18"/>
          <w:szCs w:val="18"/>
          <w:b w:val="1"/>
          <w:bCs w:val="1"/>
          <w:color w:val="auto"/>
        </w:rPr>
        <w:t>Director Affiliates</w:t>
      </w:r>
      <w:r>
        <w:rPr>
          <w:rFonts w:ascii="Times New Roman" w:cs="Times New Roman" w:eastAsia="Times New Roman" w:hAnsi="Times New Roman"/>
          <w:sz w:val="18"/>
          <w:szCs w:val="18"/>
          <w:color w:val="auto"/>
        </w:rPr>
        <w:t>”) or a senior officer or any family member of such senior officer (collectively, “</w:t>
      </w:r>
      <w:r>
        <w:rPr>
          <w:rFonts w:ascii="Times New Roman" w:cs="Times New Roman" w:eastAsia="Times New Roman" w:hAnsi="Times New Roman"/>
          <w:sz w:val="18"/>
          <w:szCs w:val="18"/>
          <w:b w:val="1"/>
          <w:bCs w:val="1"/>
          <w:color w:val="auto"/>
        </w:rPr>
        <w:t>Officer Affiliates</w:t>
      </w:r>
      <w:r>
        <w:rPr>
          <w:rFonts w:ascii="Times New Roman" w:cs="Times New Roman" w:eastAsia="Times New Roman" w:hAnsi="Times New Roman"/>
          <w:sz w:val="18"/>
          <w:szCs w:val="18"/>
          <w:color w:val="auto"/>
        </w:rPr>
        <w:t>”) may continue to hold his/her investment or other financial interest in a business or entity (an “</w:t>
      </w:r>
      <w:r>
        <w:rPr>
          <w:rFonts w:ascii="Times New Roman" w:cs="Times New Roman" w:eastAsia="Times New Roman" w:hAnsi="Times New Roman"/>
          <w:sz w:val="18"/>
          <w:szCs w:val="18"/>
          <w:b w:val="1"/>
          <w:bCs w:val="1"/>
          <w:color w:val="auto"/>
        </w:rPr>
        <w:t>Interested Business</w:t>
      </w:r>
      <w:r>
        <w:rPr>
          <w:rFonts w:ascii="Times New Roman" w:cs="Times New Roman" w:eastAsia="Times New Roman" w:hAnsi="Times New Roman"/>
          <w:sz w:val="18"/>
          <w:szCs w:val="18"/>
          <w:color w:val="auto"/>
        </w:rPr>
        <w:t>”) that:</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(1)            was made or obtained either (A) before the Company invested in or otherwise became interested in such business or entity; or</w:t>
      </w:r>
    </w:p>
    <w:p>
      <w:pPr>
        <w:spacing w:after="0" w:line="39" w:lineRule="exact"/>
        <w:rPr>
          <w:sz w:val="20"/>
          <w:szCs w:val="20"/>
          <w:color w:val="auto"/>
        </w:rPr>
      </w:pPr>
    </w:p>
    <w:p>
      <w:pPr>
        <w:ind w:left="1300" w:right="120" w:firstLine="4"/>
        <w:spacing w:after="0" w:line="255" w:lineRule="auto"/>
        <w:tabs>
          <w:tab w:leader="none" w:pos="158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director or senior officer joined the Company (for the avoidance of doubt, regardless of whether the Company had or had not already invested in or otherwise become interested in such business or entity at the time the director or senior officer joined the Company); or</w:t>
      </w:r>
    </w:p>
    <w:p>
      <w:pPr>
        <w:spacing w:after="0" w:line="186" w:lineRule="exact"/>
        <w:rPr>
          <w:sz w:val="20"/>
          <w:szCs w:val="20"/>
          <w:color w:val="auto"/>
        </w:rPr>
      </w:pPr>
    </w:p>
    <w:p>
      <w:pPr>
        <w:ind w:left="1300" w:right="320" w:firstLine="324"/>
        <w:spacing w:after="0" w:line="312" w:lineRule="auto"/>
        <w:rPr>
          <w:sz w:val="20"/>
          <w:szCs w:val="20"/>
          <w:color w:val="auto"/>
        </w:rPr>
      </w:pPr>
      <w:r>
        <w:rPr>
          <w:rFonts w:ascii="Times New Roman" w:cs="Times New Roman" w:eastAsia="Times New Roman" w:hAnsi="Times New Roman"/>
          <w:sz w:val="17"/>
          <w:szCs w:val="17"/>
          <w:color w:val="auto"/>
        </w:rPr>
        <w:t>(2)            may in the future be made or obtained by the director or senior officer, provided that at the time such investment or other financial interest is made or obtained, the Company has not yet invested in or otherwise become interested in such business or entity;</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such director or senior officer shall disclose such investment or other financial interest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19" w:name="page520"/>
    <w:bookmarkEnd w:id="519"/>
    <w:p>
      <w:pPr>
        <w:ind w:left="1300"/>
        <w:spacing w:after="0" w:line="266" w:lineRule="auto"/>
        <w:rPr>
          <w:sz w:val="20"/>
          <w:szCs w:val="20"/>
          <w:color w:val="auto"/>
        </w:rPr>
      </w:pPr>
      <w:r>
        <w:rPr>
          <w:rFonts w:ascii="Times New Roman" w:cs="Times New Roman" w:eastAsia="Times New Roman" w:hAnsi="Times New Roman"/>
          <w:sz w:val="18"/>
          <w:szCs w:val="18"/>
          <w:color w:val="auto"/>
        </w:rPr>
        <w:t>(b)   an interested director or senior officer shall refrain from participating in any discussion among senior officers of the Company relating to an Interested Business and shall not be involved in any proposed transaction between the Company and an Interested Business; and</w:t>
      </w:r>
    </w:p>
    <w:p>
      <w:pPr>
        <w:spacing w:after="0" w:line="176"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(c)   before any Director Affiliate or Officer Affiliate (A) invests, or otherwise acquires any equity or other financial interest, in a business or entity that is in competition with the Company; or (B) enters into any transaction with the Company, the related director or senior officer shall obtain prior approval from the Audit Committee of the Board.</w:t>
      </w:r>
    </w:p>
    <w:p>
      <w:pPr>
        <w:spacing w:after="0" w:line="176" w:lineRule="exact"/>
        <w:rPr>
          <w:sz w:val="20"/>
          <w:szCs w:val="20"/>
          <w:color w:val="auto"/>
        </w:rPr>
      </w:pPr>
    </w:p>
    <w:p>
      <w:pPr>
        <w:ind w:left="980" w:right="140" w:hanging="324"/>
        <w:spacing w:after="0" w:line="266" w:lineRule="auto"/>
        <w:tabs>
          <w:tab w:leader="none" w:pos="98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or Other Financial Transactions</w:t>
      </w:r>
      <w:r>
        <w:rPr>
          <w:rFonts w:ascii="Times New Roman" w:cs="Times New Roman" w:eastAsia="Times New Roman" w:hAnsi="Times New Roman"/>
          <w:sz w:val="18"/>
          <w:szCs w:val="18"/>
          <w:color w:val="auto"/>
        </w:rPr>
        <w:t>. No employee may obtain loans or guarantees of personal obligations from, or enter into any other personal financial transaction with, any company that is a material customer, supplier or competitor of the Company. This guideline does not prohibit arms-length transactions with recognized banks or other financial institutions.</w:t>
      </w:r>
    </w:p>
    <w:p>
      <w:pPr>
        <w:spacing w:after="0" w:line="175"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on Boards and Committees</w:t>
      </w:r>
      <w:r>
        <w:rPr>
          <w:rFonts w:ascii="Times New Roman" w:cs="Times New Roman" w:eastAsia="Times New Roman" w:hAnsi="Times New Roman"/>
          <w:sz w:val="18"/>
          <w:szCs w:val="18"/>
          <w:color w:val="auto"/>
        </w:rPr>
        <w:t>. No employee shall serve on a board of directors or trustees or on a committee of any entity (whether profit or not-for-profit) whose 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above is in no way a complete list of situations where conflicts of interest may arise. The following questions might serve as a useful guide in assessing a potential conflict of interest situation not specifically addressed above:</w:t>
      </w:r>
    </w:p>
    <w:p>
      <w:pPr>
        <w:spacing w:after="0" w:line="162" w:lineRule="exact"/>
        <w:rPr>
          <w:sz w:val="20"/>
          <w:szCs w:val="20"/>
          <w:color w:val="auto"/>
        </w:rPr>
      </w:pPr>
    </w:p>
    <w:p>
      <w:pPr>
        <w:ind w:left="980" w:hanging="324"/>
        <w:spacing w:after="0"/>
        <w:tabs>
          <w:tab w:leader="none" w:pos="98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action to be taken legal?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honest and fair?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in the best interests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Conflicts of Interest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requires that employees fully disclose any situations that could reasonably be expected to give rise to a conflict of interest. If an employee suspects that he/she has a conflict of interest, or a situation that others could reasonably perceive as a conflict of interest, the employee must report it immediately to the Compliance Officer. Conflicts of interest may only be waived by the Board, or the appropriate committee of the Board, and will be promptly disclosed to the public to the extent required by law and applicable rules of the applicable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i w:val="1"/>
          <w:iCs w:val="1"/>
          <w:color w:val="auto"/>
        </w:rPr>
        <w:t>Family Members and Work</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actions of family members outside the workplace may also give rise to conflicts of interest because they may influence an employee’s objectivity in making decisions on behalf of the Company. If a member of an employee’s family is interested in doing business with the Company, the criteria as to whether to enter into or continue the business relationship and the terms and conditions of the relationship must be no less favorable to the Company compared with those that would apply to an unrelated party seeking to do business with the Company under similar circumstances.</w:t>
      </w:r>
    </w:p>
    <w:p>
      <w:pPr>
        <w:spacing w:after="0" w:line="18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Employees should report any situation involving family members that could reasonably be expected to give rise to a conflict of interest to their supervisor or the Compliance Officer. For purposes of this Code, “family members” or “members of employee’s family” include an employee’s spouse, parents, children and siblings, whether by blood, marriage or adoption or anyone residing in such employee’s home.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GIFTS AND ENTERTAINMENT</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giving and receiving of appropriate gifts may be considered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It is the responsibility of employees to use good judgment in this area. As a general rule, employees may give or receive gifts or entertainment to or from customers or suppliers only if the gift or entertainment is in compliance with applicable law, insignificant in amount and not given in consideration or expectation of any action by the recipient. All gifts and entertainment expenses made on behalf of the Company must be properly accounted for on expense reports.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encourage employees to submit gifts received to the Company. While it is not mandatory to submit small gifts, gifts of over US$150 must be submitted immediately to the human resources department of the Company.</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Bribes and kickbacks are criminal acts, strictly prohibited by law. An employee must not offer, give, solicit or receive any form of bribe or kickback anywhere in the world.</w:t>
      </w:r>
    </w:p>
    <w:p>
      <w:pPr>
        <w:spacing w:after="0" w:line="158" w:lineRule="exact"/>
        <w:rPr>
          <w:sz w:val="20"/>
          <w:szCs w:val="20"/>
          <w:color w:val="auto"/>
        </w:rPr>
      </w:pPr>
    </w:p>
    <w:p>
      <w:pPr>
        <w:ind w:left="640" w:hanging="632"/>
        <w:spacing w:after="0"/>
        <w:tabs>
          <w:tab w:leader="none" w:pos="64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FCPA COMPLIANCE</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prohibits giving anything of value, directly or indirectly, to officials of foreign governments or foreign political candidates in order to obtain or retain business. A violation of FCPA does not only violate the Company’s policy but also constitute a civil or criminal offense under FCPA which the Company is subject to after the Effective Time. No employee shall give or authorize directly or indirectly any illegal payments to government officials of any country. While the FCPA does, in certain limited circumstances, allow nominal “facilitating payments” to be made, any such payment must be discussed with and approved by an employee’s supervisor in advance before it can be made.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PROTECTION AND USE OF COMPANY ASSETS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Employees should protect the Company’s assets and ensure their efficient use for legitimate business purposes only. Theft, carelessness and waste have a direct impact on the Company’s profitability. Any use of the funds or assets of the Company, whether for personal gain or not, for any unlawful or improper purpose is strictly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21" w:name="page522"/>
    <w:bookmarkEnd w:id="521"/>
    <w:p>
      <w:pPr>
        <w:ind w:left="660"/>
        <w:spacing w:after="0"/>
        <w:rPr>
          <w:sz w:val="20"/>
          <w:szCs w:val="20"/>
          <w:color w:val="auto"/>
        </w:rPr>
      </w:pPr>
      <w:r>
        <w:rPr>
          <w:rFonts w:ascii="Times New Roman" w:cs="Times New Roman" w:eastAsia="Times New Roman" w:hAnsi="Times New Roman"/>
          <w:sz w:val="18"/>
          <w:szCs w:val="18"/>
          <w:color w:val="auto"/>
        </w:rPr>
        <w:t>To ensure the protection and proper use of the Company’s assets, each employee should:</w:t>
      </w:r>
    </w:p>
    <w:p>
      <w:pPr>
        <w:spacing w:after="0" w:line="225" w:lineRule="exact"/>
        <w:rPr>
          <w:sz w:val="20"/>
          <w:szCs w:val="20"/>
          <w:color w:val="auto"/>
        </w:rPr>
      </w:pPr>
    </w:p>
    <w:p>
      <w:pPr>
        <w:ind w:left="980" w:hanging="324"/>
        <w:spacing w:after="0"/>
        <w:tabs>
          <w:tab w:leader="none" w:pos="9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reasonable care to prevent theft, damage or misuse of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any actual or suspected theft, damage or misuse of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all electronic programs, data, communications and written materials from unauthorized access;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Company’s assets only for legitimate business purposes.</w:t>
      </w:r>
    </w:p>
    <w:p>
      <w:pPr>
        <w:spacing w:after="0" w:line="225" w:lineRule="exact"/>
        <w:rPr>
          <w:sz w:val="20"/>
          <w:szCs w:val="20"/>
          <w:color w:val="auto"/>
        </w:rPr>
      </w:pPr>
    </w:p>
    <w:p>
      <w:pPr>
        <w:ind w:right="560" w:firstLine="648"/>
        <w:spacing w:after="0" w:line="312" w:lineRule="auto"/>
        <w:rPr>
          <w:sz w:val="20"/>
          <w:szCs w:val="20"/>
          <w:color w:val="auto"/>
        </w:rPr>
      </w:pPr>
      <w:r>
        <w:rPr>
          <w:rFonts w:ascii="Times New Roman" w:cs="Times New Roman" w:eastAsia="Times New Roman" w:hAnsi="Times New Roman"/>
          <w:sz w:val="17"/>
          <w:szCs w:val="17"/>
          <w:color w:val="auto"/>
        </w:rPr>
        <w:t>Except as approved in advance by the chief executive officer(s) or chief financial officer of the Company, the Company prohibits political contributions (directly or through trade associations) by any employee on behalf of the Company. Prohibited political contributions include:</w:t>
      </w:r>
    </w:p>
    <w:p>
      <w:pPr>
        <w:spacing w:after="0" w:line="140" w:lineRule="exact"/>
        <w:rPr>
          <w:sz w:val="20"/>
          <w:szCs w:val="20"/>
          <w:color w:val="auto"/>
        </w:rPr>
      </w:pPr>
    </w:p>
    <w:p>
      <w:pPr>
        <w:ind w:left="980" w:hanging="324"/>
        <w:spacing w:after="0"/>
        <w:tabs>
          <w:tab w:leader="none" w:pos="98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contributions of the Company’s funds or other assets for political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individual employees to make any such contribution;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reimbursing an employee for any political contribution.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INTELLECTUAL PROPERTY AND CONFIDENTIALITY</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Employees should abide by the Company’s rules and policies in protecting the intellectual property and confidential information, including the following:</w:t>
      </w:r>
    </w:p>
    <w:p>
      <w:pPr>
        <w:spacing w:after="0" w:line="162" w:lineRule="exact"/>
        <w:rPr>
          <w:sz w:val="20"/>
          <w:szCs w:val="20"/>
          <w:color w:val="auto"/>
        </w:rPr>
      </w:pPr>
    </w:p>
    <w:p>
      <w:pPr>
        <w:jc w:val="both"/>
        <w:ind w:left="980" w:right="100" w:hanging="324"/>
        <w:spacing w:after="0" w:line="266" w:lineRule="auto"/>
        <w:tabs>
          <w:tab w:leader="none" w:pos="9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creative works, computer software, and technical or trade secrets developed by an employee in the course of performing the employee’s duties or primarily through the use of the Company’s assets or resources while working at the Company shall be the property of the Company.</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w:t>
      </w:r>
    </w:p>
    <w:p>
      <w:pPr>
        <w:spacing w:after="0" w:line="175"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22" w:name="page523"/>
    <w:bookmarkEnd w:id="522"/>
    <w:p>
      <w:pPr>
        <w:ind w:left="980" w:right="240" w:hanging="324"/>
        <w:spacing w:after="0" w:line="282" w:lineRule="auto"/>
        <w:tabs>
          <w:tab w:leader="none" w:pos="9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outside the work environment, an employee must maintain vigilance and refrain from disclosing important information regarding the Company or its business, business associates or employees.</w:t>
      </w:r>
    </w:p>
    <w:p>
      <w:pPr>
        <w:spacing w:after="0" w:line="161" w:lineRule="exact"/>
        <w:rPr>
          <w:rFonts w:ascii="Times New Roman" w:cs="Times New Roman" w:eastAsia="Times New Roman" w:hAnsi="Times New Roman"/>
          <w:sz w:val="18"/>
          <w:szCs w:val="18"/>
          <w:color w:val="auto"/>
        </w:rPr>
      </w:pPr>
    </w:p>
    <w:p>
      <w:pPr>
        <w:ind w:left="980" w:right="640" w:hanging="324"/>
        <w:spacing w:after="0" w:line="266" w:lineRule="auto"/>
        <w:tabs>
          <w:tab w:leader="none" w:pos="9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duty of confidentiality with respect to the confidential 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spacing w:after="0" w:line="17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employment, or at such time as the Company requests, an employee must return to the Company all of its property without exception, including all forms of medium containing confidential information, and may not retain duplicate materials.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VIII.</w:t>
        <w:tab/>
        <w:t>ACCURACY OF FINANCIAL REPORTS AND OTHER PUBLIC COMMUNICATIONS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Effective Time, the Company will be required to report its financial results and other material information about its business to the public and the SEC. It is the Company’s policy to promptly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result in legal liability.</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Employees should be on guard for, and promptly report, any possibility of inaccurate or incomplete financial reporting. Particular attention should be paid to:</w:t>
      </w:r>
    </w:p>
    <w:p>
      <w:pPr>
        <w:spacing w:after="0" w:line="162" w:lineRule="exact"/>
        <w:rPr>
          <w:sz w:val="20"/>
          <w:szCs w:val="20"/>
          <w:color w:val="auto"/>
        </w:rPr>
      </w:pPr>
    </w:p>
    <w:p>
      <w:pPr>
        <w:ind w:left="980" w:hanging="324"/>
        <w:spacing w:after="0"/>
        <w:tabs>
          <w:tab w:leader="none" w:pos="9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that seem inconsistent with the performance of the underlying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do not seem to have an obvious business purpose;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to circumvent ordinary review and approval procedures.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Compliance Officer.</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p>
      <w:pPr>
        <w:spacing w:after="0" w:line="176" w:lineRule="exact"/>
        <w:rPr>
          <w:sz w:val="20"/>
          <w:szCs w:val="20"/>
          <w:color w:val="auto"/>
        </w:rPr>
      </w:pPr>
    </w:p>
    <w:p>
      <w:pPr>
        <w:ind w:left="980" w:right="220" w:hanging="324"/>
        <w:spacing w:after="0" w:line="282" w:lineRule="auto"/>
        <w:tabs>
          <w:tab w:leader="none" w:pos="98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reissuing a report on the Company’s financial statements that is not warranted in the circumstances (due to material violations of U.S. GAAP, generally accepted auditing standards or other professional or regulatory standards);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performing audit, review or other procedures required by generally accepted auditing standards or other professional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23" w:name="page524"/>
    <w:bookmarkEnd w:id="523"/>
    <w:p>
      <w:pPr>
        <w:ind w:left="980" w:hanging="324"/>
        <w:spacing w:after="0"/>
        <w:tabs>
          <w:tab w:leader="none" w:pos="9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withdrawing an issued report when withdrawal is warranted under the circumstances;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communicating matters required to be communicated to the Company’s Audit Committee.</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COMPANY RECORDS</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spacing w:after="0" w:line="180"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18"/>
          <w:szCs w:val="18"/>
          <w:color w:val="auto"/>
        </w:rPr>
        <w:t>All Company records must be complete, accurate and reliable in all material respects. There is never an acceptable reason to make false or misleading entries. Undisclosed or unrecorded funds, payments or receipts are strictly prohibited. An employee is responsible for understanding and complying with the Company’s recordkeeping policy. An employee should contact the Compliance Officer if he/she has any questions regarding the recordkeeping policy.</w:t>
      </w:r>
    </w:p>
    <w:p>
      <w:pPr>
        <w:spacing w:after="0" w:line="176" w:lineRule="exact"/>
        <w:rPr>
          <w:sz w:val="20"/>
          <w:szCs w:val="20"/>
          <w:color w:val="auto"/>
        </w:rPr>
      </w:pPr>
    </w:p>
    <w:p>
      <w:pPr>
        <w:ind w:left="640" w:hanging="632"/>
        <w:spacing w:after="0"/>
        <w:tabs>
          <w:tab w:leader="none" w:pos="64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rules and regulations that apply to their positions at the Company. If any doubt exists about whether a course of action is lawful, the employee should seek advice immediately from the Compliance Officer.</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DISCRIMINATION AND HARASSMENT</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firmly committed to providing equal opportunity in all aspects of employment and will not tolerate any illegal discrimination or harassment based on race, ethnicity, religion, gender, age, national origin or any other protected class. For further information, employees should consult the Compliance Officer.</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employee should endeavor to deal fairly with the Company’s customers, suppliers, competitors and employees. None should take unfair advantage of anyone through manipulation, concealment, abuse of privileged information, misrepresentation of material facts, or any other unfair- dealing practice.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XIII.</w:t>
        <w:tab/>
        <w:t>HEALTH AND SAFETY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4" w:name="page525"/>
    <w:bookmarkEnd w:id="524"/>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Each employee is expected to perform his/her duty to the Company in a safe manner, not under the influence of alcohol, illegal drugs or other controlled substances. The use of illegal drugs or other controlled substances in the workplace is prohibited.</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XIV.</w:t>
        <w:tab/>
        <w:t>VIOLATIONS OF THE CODE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All employees have a duty to report any known or suspected violation of this Code,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an employee knows of or suspects a violation of this Code, it is such employee’s responsibility to immediately report the violation to the Compliance Officer, who will work with the employee to investigate his/her concern. All questions and reports of known or suspected violations of this Code will be treated with sensitivity and discretion. The Compliance Officer and the Company will protect the employee’s confidentiality to the extent possible, consistent with the law and the Company’s need to investigate the employee’s concern.</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strictly prohibits retaliation against an employee who, in good faith, seeks help or reports known or suspected violations. An employee inflicting reprisal or retaliation against another employee for reporting a known or suspected violation will be subject to disciplinary action, including termination of employment.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WAIVERS OF THE CODE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Waivers of this Code will be granted on a case-by-case basis and only in extraordinary circumstances. Waivers of this Code may be made only by the Board, or the appropriate committee of the Board, and may be promptly disclosed to the public if so required by applicable laws and regulations and rules of the applicable stock exchange.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XVI.</w:t>
        <w:tab/>
        <w:t>CONCLUSION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Code contains general guidelines for conducting the business of the Company consistent with the highest standards of business ethics. If employees have any questions about these guidelines, they should contact the Compliance Officer. We expect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25" w:name="page526"/>
    <w:bookmarkEnd w:id="52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167640</wp:posOffset>
            </wp:positionV>
            <wp:extent cx="5511800" cy="3346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June 12, 2024</w:t>
      </w:r>
    </w:p>
    <w:p>
      <w:pPr>
        <w:spacing w:after="0" w:line="2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NIP Group Inc.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Suite #4-210, Governors Square, 23 Lime Tree Bay Avenue, PO Box 32311, Grand Cayman KY1-1209,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or Madams,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opinion on the laws of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which, for the purposes of this opinion, excludes the Hong Kong Special Administrative Region of the PRC, the Macau Special Administrative Region of the PRC and Taiwan) is presented by CM Law Firm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qualified lawyers of the PRC and as such are qualified to issue this opinion on the laws and regulations of the PRC. We have acted as the PRC counsel to NIP Group Inc., a corporation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 the proposed initial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a certain number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ADS representing a certain number of ordinary shares of the Company, par value US$0.0001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set forth in the Company’s registration statement on Form F-1,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under the U.S. Securities Act of 1933 (as amended) in relation to the Offering, and (ii) the Company’s proposed listing of the ADSs on the NASDAQ Stock Market.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this opinion, we have reviewed or examined copies of the Registration Statement and other documents as we have considered necessary or advisable for the purpose of rendering this opinion, including but not limited to originals or copies of the due diligence documents provided to us by the Company and the PRC Companies (as defined below) and such other documents, corporate records and certificates issued by the Governmental Agencies (as defined below)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Where certain facts were not independently established and verified by us, we have relied upon certificates or statements issued or made by competent Governmental Agencies or appropriate representatives of the Company or the PRC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this opinion, we have assumed without independent investigation that (the “</w:t>
      </w:r>
      <w:r>
        <w:rPr>
          <w:rFonts w:ascii="Times New Roman" w:cs="Times New Roman" w:eastAsia="Times New Roman" w:hAnsi="Times New Roman"/>
          <w:sz w:val="18"/>
          <w:szCs w:val="18"/>
          <w:b w:val="1"/>
          <w:bCs w:val="1"/>
          <w:color w:val="auto"/>
        </w:rPr>
        <w:t>Assumptions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hanging="648"/>
        <w:spacing w:after="0"/>
        <w:tabs>
          <w:tab w:leader="none" w:pos="98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Documents is legal, valid, binding and enforceable in accordance with their respective governing laws in any and all respects;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Documents that were presented to us up to the date of this legal opinion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legal opinion;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6" w:name="page527"/>
    <w:bookmarkEnd w:id="52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586105</wp:posOffset>
            </wp:positionV>
            <wp:extent cx="5511800" cy="3346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clrChange>
                        <a:clrFrom>
                          <a:srgbClr val="FFFFFF"/>
                        </a:clrFrom>
                        <a:clrTo>
                          <a:srgbClr val="FFFFFF">
                            <a:alpha val="0"/>
                          </a:srgbClr>
                        </a:clrTo>
                      </a:clrChange>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p>
      <w:pPr>
        <w:ind w:left="980" w:hanging="648"/>
        <w:spacing w:after="0" w:line="282"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submitted to us as originals are authentic and that all Documents submitted to us as copies conform to their authentic originals;</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have been validly authorized, executed and delivered by all of the parties thereto and such parties to the Documents have full power and authority to enter into, and have duly executed and delivered, such Documents to which it is a party in accordance with the laws of its jurisdiction of organization or incorporation or the laws to which it/she/he is subject;</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signatures, seals and chops on the Documents submitted to us are genuine, and each signature on behalf of a party thereto is that of a person duly authorized by such party to execute the same;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parties to the Documents is duly organized and validly existing under the laws of its jurisdiction of organization and/or incorporation, and has been duly approved and authorized where applicable by the competent Governmental Agencies of the relevant jurisdiction to carry on its business and to perform its obligations under the Documents to which it is a party;</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factual information provided to us is correct, complete and accurate and that all factual matters in each of the covenants, representations and warranties in the representation letter or other similar documents are and remain accurate and true in all respects;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laws of jurisdictions other than the PRC which may be applicable to the execution, delivery, performance or enforcement of the Documents are complied with;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PRC Laws of general application on the date hereof. We do not purport to be experts on and do not purport to be generally familiar with or qualified to express legal opinions on any laws other than the laws of the PRC and accordingly express no legal opinion herein on any laws of any jurisdiction other than the PRC.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evidence comes to light that would indicate any of the Documents or materials referred to is incomplete, inaccurate or defective or if any of the assumptions upon which this opinion are based prove to be incorrect, we reserve the right to revise any relevant expression or conclusion contained in this opinion and/or issue a supplementary legal opinion, interpretation or revision to this opinion according to further certified facts as of that date.</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terms defined in the context of this opinion, the following capitalized terms used in this opinion shall have the meanings ascribed to them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586105</wp:posOffset>
            </wp:positionV>
            <wp:extent cx="5511800" cy="3346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clrChange>
                        <a:clrFrom>
                          <a:srgbClr val="FFFFFF"/>
                        </a:clrFrom>
                        <a:clrTo>
                          <a:srgbClr val="FFFFFF">
                            <a:alpha val="0"/>
                          </a:srgbClr>
                        </a:clrTo>
                      </a:clrChange>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2"/>
        </w:trPr>
        <w:tc>
          <w:tcPr>
            <w:tcW w:w="4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w:t>
            </w:r>
          </w:p>
        </w:tc>
        <w:tc>
          <w:tcPr>
            <w:tcW w:w="706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means the China Securities Regulatory Commission.</w:t>
            </w:r>
          </w:p>
        </w:tc>
      </w:tr>
      <w:tr>
        <w:trPr>
          <w:trHeight w:val="194"/>
        </w:trPr>
        <w:tc>
          <w:tcPr>
            <w:tcW w:w="4180" w:type="dxa"/>
            <w:vAlign w:val="bottom"/>
            <w:tcBorders>
              <w:left w:val="single" w:sz="8" w:color="auto"/>
              <w:bottom w:val="single" w:sz="8" w:color="auto"/>
              <w:right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r>
      <w:tr>
        <w:trPr>
          <w:trHeight w:val="191"/>
        </w:trPr>
        <w:tc>
          <w:tcPr>
            <w:tcW w:w="4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any national, provincial or local governmental, regulatory or administrative authority,</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agency or commission in the PRC, or any court or arbitral body in the PRC.</w:t>
            </w:r>
          </w:p>
        </w:tc>
      </w:tr>
      <w:tr>
        <w:trPr>
          <w:trHeight w:val="216"/>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r>
      <w:tr>
        <w:trPr>
          <w:trHeight w:val="191"/>
        </w:trPr>
        <w:tc>
          <w:tcPr>
            <w:tcW w:w="4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the Provisions on Merging and Acquiring Domestic Enterprises by Foreign Investors,</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which was promulgated by six Governmental Agencies, namely, the Ministry of Commerce,</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State-owned Assets Supervision and Administration Commission, the State Administration</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for Taxation, the State Administration for Industry and Commerce (predecessor of the State</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Administration for Market Regulation), the CSRC, and the SAFE, on August 8, 2006 and</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became effective on September 8, 2006, as amended by the Ministry of Commerce on June 22,</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2009.</w:t>
            </w:r>
          </w:p>
        </w:tc>
        <w:tc>
          <w:tcPr>
            <w:tcW w:w="88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r>
      <w:tr>
        <w:trPr>
          <w:trHeight w:val="216"/>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r>
      <w:tr>
        <w:trPr>
          <w:trHeight w:val="191"/>
        </w:trPr>
        <w:tc>
          <w:tcPr>
            <w:tcW w:w="4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all applicable national, provincial and local laws, regulations, rules, notices, orders,</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decrees and judicial interpretations of the PRC currently in effect and publicly available on the</w:t>
            </w:r>
          </w:p>
        </w:tc>
      </w:tr>
      <w:tr>
        <w:trPr>
          <w:trHeight w:val="234"/>
        </w:trPr>
        <w:tc>
          <w:tcPr>
            <w:tcW w:w="41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date of this opinion.</w:t>
            </w:r>
          </w:p>
        </w:tc>
      </w:tr>
      <w:tr>
        <w:trPr>
          <w:trHeight w:val="216"/>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r>
      <w:tr>
        <w:trPr>
          <w:trHeight w:val="169"/>
        </w:trPr>
        <w:tc>
          <w:tcPr>
            <w:tcW w:w="418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Companies</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line="169" w:lineRule="exact"/>
              <w:rPr>
                <w:sz w:val="20"/>
                <w:szCs w:val="20"/>
                <w:color w:val="auto"/>
              </w:rPr>
            </w:pPr>
            <w:r>
              <w:rPr>
                <w:rFonts w:ascii="Times New Roman" w:cs="Times New Roman" w:eastAsia="Times New Roman" w:hAnsi="Times New Roman"/>
                <w:sz w:val="18"/>
                <w:szCs w:val="18"/>
                <w:color w:val="auto"/>
              </w:rPr>
              <w:t>means, collectively, all entities listed in Appendix A hereof, and each, a “</w:t>
            </w:r>
            <w:r>
              <w:rPr>
                <w:rFonts w:ascii="Times New Roman" w:cs="Times New Roman" w:eastAsia="Times New Roman" w:hAnsi="Times New Roman"/>
                <w:sz w:val="18"/>
                <w:szCs w:val="18"/>
                <w:b w:val="1"/>
                <w:bCs w:val="1"/>
                <w:color w:val="auto"/>
              </w:rPr>
              <w:t>PRC Company</w:t>
            </w:r>
            <w:r>
              <w:rPr>
                <w:rFonts w:ascii="Times New Roman" w:cs="Times New Roman" w:eastAsia="Times New Roman" w:hAnsi="Times New Roman"/>
                <w:sz w:val="18"/>
                <w:szCs w:val="18"/>
                <w:color w:val="auto"/>
              </w:rPr>
              <w:t>”</w:t>
            </w:r>
          </w:p>
        </w:tc>
      </w:tr>
      <w:tr>
        <w:trPr>
          <w:trHeight w:val="237"/>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r>
      <w:tr>
        <w:trPr>
          <w:trHeight w:val="232"/>
        </w:trPr>
        <w:tc>
          <w:tcPr>
            <w:tcW w:w="4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means the State Administration of Foreign Exchange of the PRC.</w:t>
            </w:r>
          </w:p>
        </w:tc>
      </w:tr>
      <w:tr>
        <w:trPr>
          <w:trHeight w:val="194"/>
        </w:trPr>
        <w:tc>
          <w:tcPr>
            <w:tcW w:w="4180" w:type="dxa"/>
            <w:vAlign w:val="bottom"/>
            <w:tcBorders>
              <w:left w:val="single" w:sz="8" w:color="auto"/>
              <w:bottom w:val="single" w:sz="8" w:color="auto"/>
              <w:right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r>
      <w:tr>
        <w:trPr>
          <w:trHeight w:val="232"/>
        </w:trPr>
        <w:tc>
          <w:tcPr>
            <w:tcW w:w="4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w:t>
            </w:r>
          </w:p>
        </w:tc>
        <w:tc>
          <w:tcPr>
            <w:tcW w:w="7060" w:type="dxa"/>
            <w:vAlign w:val="bottom"/>
            <w:tcBorders>
              <w:right w:val="single" w:sz="8" w:color="auto"/>
            </w:tcBorders>
            <w:gridSpan w:val="3"/>
          </w:tcPr>
          <w:p>
            <w:pPr>
              <w:ind w:left="100"/>
              <w:spacing w:after="0" w:line="219" w:lineRule="exact"/>
              <w:rPr>
                <w:sz w:val="20"/>
                <w:szCs w:val="20"/>
                <w:color w:val="auto"/>
              </w:rPr>
            </w:pPr>
            <w:r>
              <w:rPr>
                <w:rFonts w:ascii="Times New Roman" w:cs="Times New Roman" w:eastAsia="Times New Roman" w:hAnsi="Times New Roman"/>
                <w:sz w:val="18"/>
                <w:szCs w:val="18"/>
                <w:color w:val="auto"/>
              </w:rPr>
              <w:t>Means Wuhan Muyecun Network Technology Co., Ltd. (</w:t>
            </w:r>
            <w:r>
              <w:rPr>
                <w:rFonts w:ascii="SimSun" w:cs="SimSun" w:eastAsia="SimSun" w:hAnsi="SimSun"/>
                <w:sz w:val="18"/>
                <w:szCs w:val="18"/>
                <w:color w:val="auto"/>
              </w:rPr>
              <w:t>武汉木叶村网络科技有限公司</w:t>
            </w:r>
            <w:r>
              <w:rPr>
                <w:rFonts w:ascii="Times New Roman" w:cs="Times New Roman" w:eastAsia="Times New Roman" w:hAnsi="Times New Roman"/>
                <w:sz w:val="18"/>
                <w:szCs w:val="18"/>
                <w:color w:val="auto"/>
              </w:rPr>
              <w:t>)</w:t>
            </w:r>
          </w:p>
        </w:tc>
      </w:tr>
      <w:tr>
        <w:trPr>
          <w:trHeight w:val="221"/>
        </w:trPr>
        <w:tc>
          <w:tcPr>
            <w:tcW w:w="4180" w:type="dxa"/>
            <w:vAlign w:val="bottom"/>
            <w:tcBorders>
              <w:left w:val="single" w:sz="8" w:color="auto"/>
              <w:bottom w:val="single" w:sz="8" w:color="auto"/>
              <w:right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Opinions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review of the Documents and subject to the Assumptions and the Qualifications (as defined below), we are of the opinion that:</w:t>
      </w:r>
    </w:p>
    <w:p>
      <w:pPr>
        <w:spacing w:after="0" w:line="223" w:lineRule="exact"/>
        <w:rPr>
          <w:sz w:val="20"/>
          <w:szCs w:val="20"/>
          <w:color w:val="auto"/>
        </w:rPr>
      </w:pPr>
    </w:p>
    <w:p>
      <w:pPr>
        <w:jc w:val="both"/>
        <w:ind w:left="660" w:hanging="652"/>
        <w:spacing w:after="0" w:line="258" w:lineRule="auto"/>
        <w:tabs>
          <w:tab w:leader="none" w:pos="66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Corporate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descriptions of the corporate structure of the PRC Companies as set forth in the Registration Statement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“Prospectus Summary” and “Corporate History and Structure” are true and accurate in all material respects and nothing has been omitted from such description which would make it misleading in any material respect. To the best of our knowledge after due inquiry, the corporate structure of the Company (including the ownership structure of the Company and each of the PRC Companies, individually or in the aggregate), is in compliance with the PRC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586105</wp:posOffset>
            </wp:positionV>
            <wp:extent cx="5511800" cy="3346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clrChange>
                        <a:clrFrom>
                          <a:srgbClr val="FFFFFF"/>
                        </a:clrFrom>
                        <a:clrTo>
                          <a:srgbClr val="FFFFFF">
                            <a:alpha val="0"/>
                          </a:srgbClr>
                        </a:clrTo>
                      </a:clrChange>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p>
      <w:pPr>
        <w:jc w:val="both"/>
        <w:ind w:left="660" w:hanging="652"/>
        <w:spacing w:after="0" w:line="262" w:lineRule="auto"/>
        <w:tabs>
          <w:tab w:leader="none" w:pos="6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M&amp;A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our understanding of the explicit provisions of the PRC Laws as of the date hereof, given that (a) WFOE was established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of direct investment rather than by a merger with or an acquisition of any PRC domestic companies as defined under the M&amp;A Rule;</w:t>
      </w: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CSRC currently has not issued any definitive rule or interpretation concerning whether the Offerings are subject to the M&amp;A Rules; and we are of the opinion that M&amp;A Rule and related regulations do not require that the Company obtain prior CSRC approval for the listing and trading of the ADSs on the NASDAQ Stock Market. However, there are substantial uncertainties as to how the M&amp;A Rules will be interpreted or implemented in the context of an overseas offering and our opinions stated above are subject to any new PRC Laws or detailed implementations and interpretations in any form relating to the M&amp;A Rules, and there can be no assurance that the PRC government will ultimately take a view that is consistent with our opinion stated above.</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Enforceability of Civil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recognition and enforcement of foreign judgments are provided for under the PRC Civil Procedures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a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the Cayman Islands.</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statements set forth in the Registration Statement under the caption “Taxation—China” with respect to the PRC tax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constitute true and accurate descriptions of the matters described therein in all material aspects, and constitute our opinion to the material tax consequences of an investment in the ADSs under the PRC Laws.</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PRC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statements in the Registration Statement, under the sections entitled “Prospectus Summary”, “Risk Factors”, “Corporate History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“Management’s Discussion and Analysis of Financial Condition and Results of Operations-Taxation-China”, “Enforceability of Civil Liabilities”, “Dividend Policy”, “Business”, “Regulation” and “Taxation – People’s Republic of China Taxation”, to the extent that they describe or summarize matters of PRC Laws, are true and accurate in all material respects, and fairly present or fairly summarize in all material respects the PRC legal and regulatory matters or proceedings referred to therein.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586105</wp:posOffset>
            </wp:positionV>
            <wp:extent cx="5511800" cy="3346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clrChange>
                        <a:clrFrom>
                          <a:srgbClr val="FFFFFF"/>
                        </a:clrFrom>
                        <a:clrTo>
                          <a:srgbClr val="FFFFFF">
                            <a:alpha val="0"/>
                          </a:srgbClr>
                        </a:clrTo>
                      </a:clrChange>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Our opinion expressed above is subject to the following qualifications (the “</w:t>
      </w: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limited to the PRC laws of general application on the date hereof. For the purpose of this opinion only, the PRC or China shall not include the Hong Kong Special Administrative Region, the Macau Special Administrative Region or Taiwan. We have made no investigation of, and do not express or imply any views on, the laws of any jurisdiction other than the PRC.</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Laws referred to herein are laws and regulations publicly available and currently in force on the date hereof and there is no guarantee that any of such laws and regulations, or the interpretation or enforcement thereof, will not be changed, amended or revoked in the future with or without retrospective effect.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effects of (i) certain legal or statutory principles affecting the enforceability of contractual rights generally under the concepts of public interest, social ethics, national security, good faith, fair dealing, and applicable statutes of limitation, (ii) any circumstance in connection with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calculation of damages, and (iv) the discretion of any competent PRC legislative, administrative or judicial bodies in exercising their authority in the PRC.</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issued based on our understanding of the current PRC Laws. For matters not explicitly provided under the current PRC Laws, the interpretation, implementation and application of the specific requirements under PRC Laws are subject to the final discretion of competent PRC legislative, administrative and judicial authorities and there can be no assurance that the Government Agencies will ultimately take a view that is not contrary to our opinion stated above.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as to matters of fact (but not as to legal conclusions), to the extent we deem proper, on certificates and confirmations of responsible officers of the PRC Companies and PRC government officials.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opinion, the expression “to the best of our knowledge after due inquiry” or similar language with reference to matters of fact refers to the current actual knowledge of the attorneys of this firm who have worked on matters for the Company in connection with the Offering and the transactions contemplated thereby after reasonable investigation and inquiry. We may rely, as to matters of fact (but not as to legal conclusions), to the extent we deem proper, on certificates and confirmations of responsible officers of the PRC Companies and Governmental Agencies.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independent investigation to determine the existence or absence of any fact, and no inference as to our knowledge of the existence or absence of any fact should be drawn from our representation of the Company or the PRC Companies or the rendering of this opinion.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586105</wp:posOffset>
            </wp:positionV>
            <wp:extent cx="5511800" cy="3346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clrChange>
                        <a:clrFrom>
                          <a:srgbClr val="FFFFFF"/>
                        </a:clrFrom>
                        <a:clrTo>
                          <a:srgbClr val="FFFFFF">
                            <a:alpha val="0"/>
                          </a:srgbClr>
                        </a:clrTo>
                      </a:clrChange>
                      <a:extLst>
                        <a:ext uri="{28A0092B-C50C-407E-A947-70E740481C1C}"/>
                      </a:extLst>
                    </a:blip>
                    <a:srcRect/>
                    <a:stretch>
                      <a:fillRect/>
                    </a:stretch>
                  </pic:blipFill>
                  <pic:spPr bwMode="auto">
                    <a:xfrm>
                      <a:off x="0" y="0"/>
                      <a:ext cx="5511800" cy="33464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intended to be used in the context which is specifically referred to herein and each paragraph should be looked at as a whole and no part should be extracted and referred to independently.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opinions are strictly limited to matters of the laws in the PRC effective as the date hereof. We have not investigated, and we do not express or imply any opinion whatsoever with respect to the laws of any other jurisdiction, and we have assumed that no such other laws would affect the opinions stated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in, and the filing hereof as an exhibit to, the Registration Statement, and to the reference to our name in such Registration Statement. In giving such consent, we do not thereby admit that we come within the category of persons whose consent is required under Section 7 of the U.S. Securities Act of 1933, as amended, or the regulations promulgated thereunder.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CM Law Firm</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CM Law Firm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1" w:name="page532"/>
    <w:bookmarkEnd w:id="5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PRC Companies</w:t>
      </w:r>
    </w:p>
    <w:p>
      <w:pPr>
        <w:spacing w:after="0" w:line="220" w:lineRule="exact"/>
        <w:rPr>
          <w:sz w:val="20"/>
          <w:szCs w:val="20"/>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Wuhan Muyecun Network Technology Co., Ltd. </w:t>
      </w:r>
      <w:r>
        <w:rPr>
          <w:rFonts w:ascii="SimSun" w:cs="SimSun" w:eastAsia="SimSun" w:hAnsi="SimSun"/>
          <w:sz w:val="18"/>
          <w:szCs w:val="18"/>
          <w:color w:val="auto"/>
        </w:rPr>
        <w:t>（武汉木叶村网络科技有限公司）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07" w:lineRule="exact"/>
        <w:tabs>
          <w:tab w:leader="none" w:pos="500"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Wuhan Xingjingweiwu Culture &amp; Sports Development Co., Ltd. </w:t>
      </w:r>
      <w:r>
        <w:rPr>
          <w:rFonts w:ascii="SimSun" w:cs="SimSun" w:eastAsia="SimSun" w:hAnsi="SimSun"/>
          <w:sz w:val="17"/>
          <w:szCs w:val="17"/>
          <w:color w:val="auto"/>
        </w:rPr>
        <w:t>（武汉星竞威武文体发展有限公司）</w:t>
      </w:r>
    </w:p>
    <w:p>
      <w:pPr>
        <w:spacing w:after="0" w:line="36" w:lineRule="exact"/>
        <w:rPr>
          <w:rFonts w:ascii="Times New Roman" w:cs="Times New Roman" w:eastAsia="Times New Roman" w:hAnsi="Times New Roman"/>
          <w:sz w:val="17"/>
          <w:szCs w:val="17"/>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Wuhan Xinghui Culture Media Co., Ltd.</w:t>
      </w:r>
      <w:r>
        <w:rPr>
          <w:rFonts w:ascii="SimSun" w:cs="SimSun" w:eastAsia="SimSun" w:hAnsi="SimSun"/>
          <w:sz w:val="18"/>
          <w:szCs w:val="18"/>
          <w:color w:val="auto"/>
        </w:rPr>
        <w:t>（武汉星晖文化传媒有限公司）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Shenzhen Weiwu Esports Internet Technology Co., Ltd. </w:t>
      </w:r>
      <w:r>
        <w:rPr>
          <w:rFonts w:ascii="SimSun" w:cs="SimSun" w:eastAsia="SimSun" w:hAnsi="SimSun"/>
          <w:sz w:val="18"/>
          <w:szCs w:val="18"/>
          <w:color w:val="auto"/>
        </w:rPr>
        <w:t>（深圳威武电竞网络科技有限公司）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Shenzhen Dawei Xianglong Sports Co., Ltd </w:t>
      </w:r>
      <w:r>
        <w:rPr>
          <w:rFonts w:ascii="SimSun" w:cs="SimSun" w:eastAsia="SimSun" w:hAnsi="SimSun"/>
          <w:sz w:val="18"/>
          <w:szCs w:val="18"/>
          <w:color w:val="auto"/>
        </w:rPr>
        <w:t>（深圳市大威祥龙体育有限公司）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Taicang Xingjingweiwu Culture Media Co., Ltd </w:t>
      </w:r>
      <w:r>
        <w:rPr>
          <w:rFonts w:ascii="SimSun" w:cs="SimSun" w:eastAsia="SimSun" w:hAnsi="SimSun"/>
          <w:sz w:val="18"/>
          <w:szCs w:val="18"/>
          <w:color w:val="auto"/>
        </w:rPr>
        <w:t>（太仓星竞威武文化传媒有限公司）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Wuhan Xingjing Interactive Entertainment Co., Ltd </w:t>
      </w:r>
      <w:r>
        <w:rPr>
          <w:rFonts w:ascii="SimSun" w:cs="SimSun" w:eastAsia="SimSun" w:hAnsi="SimSun"/>
          <w:sz w:val="18"/>
          <w:szCs w:val="18"/>
          <w:color w:val="auto"/>
        </w:rPr>
        <w:t>（武汉星竞互动娱乐有限公司）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Xingzhi Culture Media Co., Ltd</w:t>
      </w:r>
      <w:r>
        <w:rPr>
          <w:rFonts w:ascii="SimSun" w:cs="SimSun" w:eastAsia="SimSun" w:hAnsi="SimSun"/>
          <w:sz w:val="18"/>
          <w:szCs w:val="18"/>
          <w:color w:val="auto"/>
        </w:rPr>
        <w:t>（上海星炙文化传媒有限公司）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Chengdu Xingjing Weiwu Culture Media Co., Ltd </w:t>
      </w:r>
      <w:r>
        <w:rPr>
          <w:rFonts w:ascii="SimSun" w:cs="SimSun" w:eastAsia="SimSun" w:hAnsi="SimSun"/>
          <w:sz w:val="18"/>
          <w:szCs w:val="18"/>
          <w:color w:val="auto"/>
        </w:rPr>
        <w:t>（成都星竞威武文化传媒有限公司）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Zhoushan Jingxi Internet Technology Co., Ltd </w:t>
      </w:r>
      <w:r>
        <w:rPr>
          <w:rFonts w:ascii="SimSun" w:cs="SimSun" w:eastAsia="SimSun" w:hAnsi="SimSun"/>
          <w:sz w:val="18"/>
          <w:szCs w:val="18"/>
          <w:color w:val="auto"/>
        </w:rPr>
        <w:t>（舟山竞玺网络科技有限公司）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Zhoushan Xingjing Internet Technology Co., Ltd </w:t>
      </w:r>
      <w:r>
        <w:rPr>
          <w:rFonts w:ascii="SimSun" w:cs="SimSun" w:eastAsia="SimSun" w:hAnsi="SimSun"/>
          <w:sz w:val="18"/>
          <w:szCs w:val="18"/>
          <w:color w:val="auto"/>
        </w:rPr>
        <w:t>（舟山星竞网络科技有限公司）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Hongli Culture Communications (Wuhan) Co., Ltd. </w:t>
      </w:r>
      <w:r>
        <w:rPr>
          <w:rFonts w:ascii="SimSun" w:cs="SimSun" w:eastAsia="SimSun" w:hAnsi="SimSun"/>
          <w:sz w:val="18"/>
          <w:szCs w:val="18"/>
          <w:color w:val="auto"/>
        </w:rPr>
        <w:t>（红鲤文化传播（武汉）有限公司）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Changsha Liyao Cultural Communication Co., Ltd </w:t>
      </w:r>
      <w:r>
        <w:rPr>
          <w:rFonts w:ascii="SimSun" w:cs="SimSun" w:eastAsia="SimSun" w:hAnsi="SimSun"/>
          <w:sz w:val="18"/>
          <w:szCs w:val="18"/>
          <w:color w:val="auto"/>
        </w:rPr>
        <w:t>（长沙鲤耀文化传播有限公司）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Wuhan Yingciyuan Information Technology Co., Ltd </w:t>
      </w:r>
      <w:r>
        <w:rPr>
          <w:rFonts w:ascii="SimSun" w:cs="SimSun" w:eastAsia="SimSun" w:hAnsi="SimSun"/>
          <w:sz w:val="18"/>
          <w:szCs w:val="18"/>
          <w:color w:val="auto"/>
        </w:rPr>
        <w:t>（武汉映次元信息科技有限公司）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Hongli Culture Communication (Beijing) Co., Ltd.</w:t>
      </w:r>
      <w:r>
        <w:rPr>
          <w:rFonts w:ascii="SimSun" w:cs="SimSun" w:eastAsia="SimSun" w:hAnsi="SimSun"/>
          <w:sz w:val="18"/>
          <w:szCs w:val="18"/>
          <w:color w:val="auto"/>
        </w:rPr>
        <w:t>（红鲤文化传播（北京）有限公司）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Xiamen Yingciyuan Education Technology Co., Ltd. </w:t>
      </w:r>
      <w:r>
        <w:rPr>
          <w:rFonts w:ascii="SimSun" w:cs="SimSun" w:eastAsia="SimSun" w:hAnsi="SimSun"/>
          <w:sz w:val="18"/>
          <w:szCs w:val="18"/>
          <w:color w:val="auto"/>
        </w:rPr>
        <w:t>（厦门映次元教育科技有限公司）</w:t>
      </w:r>
    </w:p>
    <w:p>
      <w:pPr>
        <w:spacing w:after="0" w:line="24" w:lineRule="exact"/>
        <w:rPr>
          <w:rFonts w:ascii="Times New Roman" w:cs="Times New Roman" w:eastAsia="Times New Roman" w:hAnsi="Times New Roman"/>
          <w:sz w:val="18"/>
          <w:szCs w:val="18"/>
          <w:color w:val="auto"/>
        </w:rPr>
      </w:pPr>
    </w:p>
    <w:p>
      <w:pPr>
        <w:ind w:left="500" w:hanging="316"/>
        <w:spacing w:after="0" w:line="219" w:lineRule="exact"/>
        <w:tabs>
          <w:tab w:leader="none" w:pos="5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Hongxiaoli Culture Communication (Hangzhou) Co., Ltd.</w:t>
      </w:r>
      <w:r>
        <w:rPr>
          <w:rFonts w:ascii="SimSun" w:cs="SimSun" w:eastAsia="SimSun" w:hAnsi="SimSun"/>
          <w:sz w:val="18"/>
          <w:szCs w:val="18"/>
          <w:color w:val="auto"/>
        </w:rPr>
        <w:t>（红小鲤文化传播（杭州）有限公司）</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32" w:name="page533"/>
    <w:bookmarkEnd w:id="532"/>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4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Suite 3006, Two Exchange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954530" cy="50609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954530" cy="506095"/>
                    </a:xfrm>
                    <a:prstGeom prst="rect">
                      <a:avLst/>
                    </a:prstGeom>
                    <a:noFill/>
                  </pic:spPr>
                </pic:pic>
              </a:graphicData>
            </a:graphic>
          </wp:anchor>
        </w:drawing>
      </w:r>
    </w:p>
    <w:p>
      <w:pPr>
        <w:spacing w:after="0" w:line="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8 Connaught Place, Central</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Tel: 852 2191 7566</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Fax: 852 2191 7995</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www.frost.com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Rosenlundsgatan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11 863, Stockholm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 Consent of Frost &amp; Sullivan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480" w:firstLine="7"/>
        <w:spacing w:after="0" w:line="266" w:lineRule="auto"/>
        <w:rPr>
          <w:sz w:val="20"/>
          <w:szCs w:val="20"/>
          <w:color w:val="auto"/>
        </w:rPr>
      </w:pPr>
      <w:r>
        <w:rPr>
          <w:rFonts w:ascii="Times New Roman" w:cs="Times New Roman" w:eastAsia="Times New Roman" w:hAnsi="Times New Roman"/>
          <w:sz w:val="18"/>
          <w:szCs w:val="18"/>
          <w:color w:val="auto"/>
        </w:rPr>
        <w:t>Reference is made to the registration statement on Form F-1 (the "Registration Statement") filed by NIP Group Inc. (the "Company") with the United States Securities and Exchange Commission (the "SEC") under the Securities Act of 1933, as amended, in connection with its proposed initial public offering {the "Proposed IPO").</w:t>
      </w:r>
    </w:p>
    <w:p>
      <w:pPr>
        <w:spacing w:after="0" w:line="176" w:lineRule="exact"/>
        <w:rPr>
          <w:sz w:val="20"/>
          <w:szCs w:val="20"/>
          <w:color w:val="auto"/>
        </w:rPr>
      </w:pPr>
    </w:p>
    <w:p>
      <w:pPr>
        <w:ind w:right="220" w:firstLine="12"/>
        <w:spacing w:after="0" w:line="255" w:lineRule="auto"/>
        <w:rPr>
          <w:sz w:val="20"/>
          <w:szCs w:val="20"/>
          <w:color w:val="auto"/>
        </w:rPr>
      </w:pPr>
      <w:r>
        <w:rPr>
          <w:rFonts w:ascii="Times New Roman" w:cs="Times New Roman" w:eastAsia="Times New Roman" w:hAnsi="Times New Roman"/>
          <w:sz w:val="18"/>
          <w:szCs w:val="18"/>
          <w:color w:val="auto"/>
        </w:rPr>
        <w:t>We hereby consent to the use of and references to our name and the inclusion of information, data and statements from our research reports and amendments thereto, including, without limitation, the industry report titled "Global Esports Industry Independent Market Research" (collectively, the "Reports"), and any subsequent amendments to the Reports, as well as the citation of our independent industry reports and amendments thereto, (i) in the Registration Statement and any amendments thereto, including, but not limited to, under the "Prospectus Summary", "Industry" and "Business" sections;</w:t>
      </w:r>
    </w:p>
    <w:p>
      <w:pPr>
        <w:spacing w:after="0" w:line="3" w:lineRule="exact"/>
        <w:rPr>
          <w:sz w:val="20"/>
          <w:szCs w:val="20"/>
          <w:color w:val="auto"/>
        </w:rPr>
      </w:pPr>
    </w:p>
    <w:p>
      <w:pPr>
        <w:jc w:val="both"/>
        <w:ind w:right="120" w:firstLine="8"/>
        <w:spacing w:after="0" w:line="253" w:lineRule="auto"/>
        <w:tabs>
          <w:tab w:leader="none" w:pos="265"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written correspondence with the SEC, (iii) in any other future filings with the SEC by the Company, including, without limitation, filings on Form 20-F, Form 6-K and other SEC filings (collectively, the "SEC Filings"), (iv) on the websites or in the publicity materials of the Company and its subsidiaries and affiliates, (v) in institutional and retail roadshows and other activities in connection with the Proposed IPO, and (vi) in other publicity and marketing materials in connection with the Proposed IPO.</w:t>
      </w:r>
    </w:p>
    <w:p>
      <w:pPr>
        <w:spacing w:after="0" w:line="189" w:lineRule="exact"/>
        <w:rPr>
          <w:sz w:val="20"/>
          <w:szCs w:val="20"/>
          <w:color w:val="auto"/>
        </w:rPr>
      </w:pPr>
    </w:p>
    <w:p>
      <w:pPr>
        <w:ind w:right="180" w:hanging="2"/>
        <w:spacing w:after="0" w:line="282" w:lineRule="auto"/>
        <w:rPr>
          <w:sz w:val="20"/>
          <w:szCs w:val="20"/>
          <w:color w:val="auto"/>
        </w:rPr>
      </w:pPr>
      <w:r>
        <w:rPr>
          <w:rFonts w:ascii="Times New Roman" w:cs="Times New Roman" w:eastAsia="Times New Roman" w:hAnsi="Times New Roman"/>
          <w:sz w:val="18"/>
          <w:szCs w:val="18"/>
          <w:color w:val="auto"/>
        </w:rPr>
        <w:t>We further hereby consent to the filing of this letter as an exhibit to the Registration Statement and any amendments thereto and as an exhibit to any other SEC Filings by the Company for the use of our data and information cited for the above-mentioned purposes.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3" w:name="page534"/>
    <w:bookmarkEnd w:id="533"/>
    <w:p>
      <w:pPr>
        <w:ind w:left="8560"/>
        <w:spacing w:after="0"/>
        <w:rPr>
          <w:sz w:val="20"/>
          <w:szCs w:val="20"/>
          <w:color w:val="auto"/>
        </w:rPr>
      </w:pPr>
      <w:r>
        <w:rPr>
          <w:rFonts w:ascii="Times New Roman" w:cs="Times New Roman" w:eastAsia="Times New Roman" w:hAnsi="Times New Roman"/>
          <w:sz w:val="17"/>
          <w:szCs w:val="17"/>
          <w:color w:val="auto"/>
        </w:rPr>
        <w:t>Suite 3006, Two Exchange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54530" cy="50609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954530" cy="506095"/>
                    </a:xfrm>
                    <a:prstGeom prst="rect">
                      <a:avLst/>
                    </a:prstGeom>
                    <a:noFill/>
                  </pic:spPr>
                </pic:pic>
              </a:graphicData>
            </a:graphic>
          </wp:anchor>
        </w:drawing>
      </w:r>
    </w:p>
    <w:p>
      <w:pPr>
        <w:spacing w:after="0" w:line="1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8 Connaught Place, Central</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Tel: 852 2191 7566</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Fax: 852 2191 7995</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www.frost.com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Frost &amp; Sullivan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Charles Lau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534" w:name="page535"/>
    <w:bookmarkEnd w:id="534"/>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Exhibit 107</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Form F-1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(Form Type)</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NIP Group Inc.</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gridSpan w:val="11"/>
          </w:tcPr>
          <w:p>
            <w:pPr>
              <w:jc w:val="center"/>
              <w:ind w:left="2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5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Security Class Title</w:t>
            </w:r>
            <w:r>
              <w:rPr>
                <w:rFonts w:ascii="Times New Roman" w:cs="Times New Roman" w:eastAsia="Times New Roman" w:hAnsi="Times New Roman"/>
                <w:sz w:val="29"/>
                <w:szCs w:val="29"/>
                <w:b w:val="1"/>
                <w:bCs w:val="1"/>
                <w:color w:val="auto"/>
                <w:w w:val="96"/>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820" w:type="dxa"/>
            <w:vAlign w:val="bottom"/>
            <w:gridSpan w:val="2"/>
            <w:vMerge w:val="continue"/>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0" w:type="dxa"/>
            <w:vAlign w:val="bottom"/>
          </w:tcPr>
          <w:p>
            <w:pPr>
              <w:spacing w:after="0"/>
              <w:rPr>
                <w:sz w:val="23"/>
                <w:szCs w:val="23"/>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580" w:type="dxa"/>
            <w:vAlign w:val="bottom"/>
            <w:gridSpan w:val="2"/>
          </w:tcPr>
          <w:p>
            <w:pPr>
              <w:jc w:val="center"/>
              <w:ind w:right="60"/>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Offering Price</w:t>
            </w:r>
            <w:r>
              <w:rPr>
                <w:rFonts w:ascii="Times New Roman" w:cs="Times New Roman" w:eastAsia="Times New Roman" w:hAnsi="Times New Roman"/>
                <w:sz w:val="29"/>
                <w:szCs w:val="29"/>
                <w:b w:val="1"/>
                <w:bCs w:val="1"/>
                <w:color w:val="auto"/>
                <w:w w:val="92"/>
                <w:vertAlign w:val="superscript"/>
              </w:rPr>
              <w:t>(2)(3)</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191"/>
        </w:trPr>
        <w:tc>
          <w:tcPr>
            <w:tcW w:w="9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Fees to Be</w:t>
            </w:r>
          </w:p>
        </w:tc>
        <w:tc>
          <w:tcPr>
            <w:tcW w:w="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Ordinary shares, par</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 457(o)</w:t>
            </w:r>
          </w:p>
        </w:tc>
        <w:tc>
          <w:tcPr>
            <w:tcW w:w="1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US$5,000,000</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US$147.60</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US$738.00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9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value US$0.0001 per</w:t>
            </w: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5"/>
              </w:rPr>
              <w:t>per</w:t>
            </w: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w:t>
            </w: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US$1,000,000</w:t>
            </w: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Total Offering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US$5,000,000</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US$738.00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US$738.00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American depositary shares issuable upon deposit of ordinary shares registered hereby will be registered under a separate registration statement on</w:t>
      </w:r>
    </w:p>
    <w:p>
      <w:pPr>
        <w:spacing w:after="0" w:line="27" w:lineRule="exact"/>
        <w:rPr>
          <w:sz w:val="20"/>
          <w:szCs w:val="20"/>
          <w:color w:val="auto"/>
        </w:rPr>
      </w:pPr>
    </w:p>
    <w:p>
      <w:pPr>
        <w:ind w:left="340"/>
        <w:spacing w:after="0"/>
        <w:tabs>
          <w:tab w:leader="none" w:pos="5940" w:val="left"/>
        </w:tabs>
        <w:rPr>
          <w:sz w:val="20"/>
          <w:szCs w:val="20"/>
          <w:color w:val="auto"/>
        </w:rPr>
      </w:pPr>
      <w:r>
        <w:rPr>
          <w:rFonts w:ascii="Times New Roman" w:cs="Times New Roman" w:eastAsia="Times New Roman" w:hAnsi="Times New Roman"/>
          <w:sz w:val="18"/>
          <w:szCs w:val="18"/>
          <w:color w:val="auto"/>
        </w:rPr>
        <w:t>Form F-6, as amended. Each American depositary share represents</w:t>
      </w:r>
      <w:r>
        <w:rPr>
          <w:sz w:val="20"/>
          <w:szCs w:val="20"/>
          <w:color w:val="auto"/>
        </w:rPr>
        <w:tab/>
      </w:r>
      <w:r>
        <w:rPr>
          <w:rFonts w:ascii="Times New Roman" w:cs="Times New Roman" w:eastAsia="Times New Roman" w:hAnsi="Times New Roman"/>
          <w:sz w:val="17"/>
          <w:szCs w:val="17"/>
          <w:color w:val="auto"/>
        </w:rPr>
        <w:t>ordinary shares.</w:t>
      </w:r>
    </w:p>
    <w:p>
      <w:pPr>
        <w:spacing w:after="0" w:line="207" w:lineRule="exact"/>
        <w:rPr>
          <w:sz w:val="20"/>
          <w:szCs w:val="20"/>
          <w:color w:val="auto"/>
        </w:rPr>
      </w:pPr>
    </w:p>
    <w:p>
      <w:pPr>
        <w:ind w:left="340" w:right="120" w:hanging="332"/>
        <w:spacing w:after="0" w:line="261" w:lineRule="auto"/>
        <w:tabs>
          <w:tab w:leader="none" w:pos="3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ordinary shares represented by ADSs that are issuable upon the exercise of the underwriters’ over-allotment option, and (b) all ordinary shares represented by ADSs initially offered and sold outside the United States that may be resold from time to time in the United States either as part of the distribution or within 40 days after the later of the effective date of this registration statement and the date the securities are first bona fide offered to the public. These ordinary shares are not being registered for the purpose of sales outside the United States.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410ED56"/>
    <w:multiLevelType w:val="hybridMultilevel"/>
    <w:lvl w:ilvl="0">
      <w:lvlJc w:val="left"/>
      <w:lvlText w:val="†"/>
      <w:numFmt w:val="bullet"/>
      <w:start w:val="1"/>
    </w:lvl>
  </w:abstractNum>
  <w:abstractNum w:abstractNumId="1">
    <w:nsid w:val="23C049A"/>
    <w:multiLevelType w:val="hybridMultilevel"/>
    <w:lvl w:ilvl="0">
      <w:lvlJc w:val="left"/>
      <w:lvlText w:val="(%1)"/>
      <w:numFmt w:val="decimal"/>
      <w:start w:val="1"/>
    </w:lvl>
  </w:abstractNum>
  <w:abstractNum w:abstractNumId="2">
    <w:nsid w:val="5BDA35D4"/>
    <w:multiLevelType w:val="hybridMultilevel"/>
    <w:lvl w:ilvl="0">
      <w:lvlJc w:val="left"/>
      <w:lvlText w:val="•"/>
      <w:numFmt w:val="bullet"/>
      <w:start w:val="1"/>
    </w:lvl>
  </w:abstractNum>
  <w:abstractNum w:abstractNumId="3">
    <w:nsid w:val="496FB218"/>
    <w:multiLevelType w:val="hybridMultilevel"/>
    <w:lvl w:ilvl="0">
      <w:lvlJc w:val="left"/>
      <w:lvlText w:val="•"/>
      <w:numFmt w:val="bullet"/>
      <w:start w:val="1"/>
    </w:lvl>
  </w:abstractNum>
  <w:abstractNum w:abstractNumId="4">
    <w:nsid w:val="680EA5D1"/>
    <w:multiLevelType w:val="hybridMultilevel"/>
    <w:lvl w:ilvl="0">
      <w:lvlJc w:val="left"/>
      <w:lvlText w:val="•"/>
      <w:numFmt w:val="bullet"/>
      <w:start w:val="1"/>
    </w:lvl>
  </w:abstractNum>
  <w:abstractNum w:abstractNumId="5">
    <w:nsid w:val="4A9554FE"/>
    <w:multiLevelType w:val="hybridMultilevel"/>
    <w:lvl w:ilvl="0">
      <w:lvlJc w:val="left"/>
      <w:lvlText w:val="•"/>
      <w:numFmt w:val="bullet"/>
      <w:start w:val="1"/>
    </w:lvl>
  </w:abstractNum>
  <w:abstractNum w:abstractNumId="6">
    <w:nsid w:val="392EDBE4"/>
    <w:multiLevelType w:val="hybridMultilevel"/>
    <w:lvl w:ilvl="0">
      <w:lvlJc w:val="left"/>
      <w:lvlText w:val="•"/>
      <w:numFmt w:val="bullet"/>
      <w:start w:val="1"/>
    </w:lvl>
  </w:abstractNum>
  <w:abstractNum w:abstractNumId="7">
    <w:nsid w:val="3D1A2DD9"/>
    <w:multiLevelType w:val="hybridMultilevel"/>
    <w:lvl w:ilvl="0">
      <w:lvlJc w:val="left"/>
      <w:lvlText w:val="•"/>
      <w:numFmt w:val="bullet"/>
      <w:start w:val="1"/>
    </w:lvl>
  </w:abstractNum>
  <w:abstractNum w:abstractNumId="8">
    <w:nsid w:val="7F618FCD"/>
    <w:multiLevelType w:val="hybridMultilevel"/>
    <w:lvl w:ilvl="0">
      <w:lvlJc w:val="left"/>
      <w:lvlText w:val="•"/>
      <w:numFmt w:val="bullet"/>
      <w:start w:val="1"/>
    </w:lvl>
  </w:abstractNum>
  <w:abstractNum w:abstractNumId="9">
    <w:nsid w:val="7843E45"/>
    <w:multiLevelType w:val="hybridMultilevel"/>
    <w:lvl w:ilvl="0">
      <w:lvlJc w:val="left"/>
      <w:lvlText w:val="•"/>
      <w:numFmt w:val="bullet"/>
      <w:start w:val="1"/>
    </w:lvl>
  </w:abstractNum>
  <w:abstractNum w:abstractNumId="10">
    <w:nsid w:val="9815DA3"/>
    <w:multiLevelType w:val="hybridMultilevel"/>
    <w:lvl w:ilvl="0">
      <w:lvlJc w:val="left"/>
      <w:lvlText w:val="(%1)"/>
      <w:numFmt w:val="decimal"/>
      <w:start w:val="1"/>
    </w:lvl>
  </w:abstractNum>
  <w:abstractNum w:abstractNumId="11">
    <w:nsid w:val="5204A191"/>
    <w:multiLevelType w:val="hybridMultilevel"/>
    <w:lvl w:ilvl="0">
      <w:lvlJc w:val="left"/>
      <w:lvlText w:val="(%1)"/>
      <w:numFmt w:val="lowerRoman"/>
      <w:start w:val="2"/>
    </w:lvl>
  </w:abstractNum>
  <w:abstractNum w:abstractNumId="12">
    <w:nsid w:val="4C73A9C6"/>
    <w:multiLevelType w:val="hybridMultilevel"/>
    <w:lvl w:ilvl="0">
      <w:lvlJc w:val="left"/>
      <w:lvlText w:val="(%1)"/>
      <w:numFmt w:val="lowerRoman"/>
      <w:start w:val="2"/>
    </w:lvl>
  </w:abstractNum>
  <w:abstractNum w:abstractNumId="13">
    <w:nsid w:val="1C7E3C01"/>
    <w:multiLevelType w:val="hybridMultilevel"/>
    <w:lvl w:ilvl="0">
      <w:lvlJc w:val="left"/>
      <w:lvlText w:val="•"/>
      <w:numFmt w:val="bullet"/>
      <w:start w:val="1"/>
    </w:lvl>
  </w:abstractNum>
  <w:abstractNum w:abstractNumId="14">
    <w:nsid w:val="1C2201FF"/>
    <w:multiLevelType w:val="hybridMultilevel"/>
    <w:lvl w:ilvl="0">
      <w:lvlJc w:val="left"/>
      <w:lvlText w:val=" "/>
      <w:numFmt w:val="bullet"/>
      <w:start w:val="1"/>
    </w:lvl>
  </w:abstractNum>
  <w:abstractNum w:abstractNumId="15">
    <w:nsid w:val="50ABCEC9"/>
    <w:multiLevelType w:val="hybridMultilevel"/>
    <w:lvl w:ilvl="0">
      <w:lvlJc w:val="left"/>
      <w:lvlText w:val="​"/>
      <w:numFmt w:val="bullet"/>
      <w:start w:val="1"/>
    </w:lvl>
  </w:abstractNum>
  <w:abstractNum w:abstractNumId="16">
    <w:nsid w:val="7635AA2A"/>
    <w:multiLevelType w:val="hybridMultilevel"/>
    <w:lvl w:ilvl="0">
      <w:lvlJc w:val="left"/>
      <w:lvlText w:val="(%1)"/>
      <w:numFmt w:val="decimal"/>
      <w:start w:val="1"/>
    </w:lvl>
  </w:abstractNum>
  <w:abstractNum w:abstractNumId="17">
    <w:nsid w:val="5E74C4D9"/>
    <w:multiLevelType w:val="hybridMultilevel"/>
    <w:lvl w:ilvl="0">
      <w:lvlJc w:val="left"/>
      <w:lvlText w:val="(%1)"/>
      <w:numFmt w:val="decimal"/>
      <w:start w:val="1"/>
    </w:lvl>
  </w:abstractNum>
  <w:abstractNum w:abstractNumId="18">
    <w:nsid w:val="3B3EBE15"/>
    <w:multiLevelType w:val="hybridMultilevel"/>
    <w:lvl w:ilvl="0">
      <w:lvlJc w:val="left"/>
      <w:lvlText w:val="•"/>
      <w:numFmt w:val="bullet"/>
      <w:start w:val="1"/>
    </w:lvl>
  </w:abstractNum>
  <w:abstractNum w:abstractNumId="19">
    <w:nsid w:val="3822CB01"/>
    <w:multiLevelType w:val="hybridMultilevel"/>
    <w:lvl w:ilvl="0">
      <w:lvlJc w:val="left"/>
      <w:lvlText w:val="•"/>
      <w:numFmt w:val="bullet"/>
      <w:start w:val="1"/>
    </w:lvl>
  </w:abstractNum>
  <w:abstractNum w:abstractNumId="20">
    <w:nsid w:val="6CE00443"/>
    <w:multiLevelType w:val="hybridMultilevel"/>
    <w:lvl w:ilvl="0">
      <w:lvlJc w:val="left"/>
      <w:lvlText w:val="•"/>
      <w:numFmt w:val="bullet"/>
      <w:start w:val="1"/>
    </w:lvl>
  </w:abstractNum>
  <w:abstractNum w:abstractNumId="21">
    <w:nsid w:val="79F0D62F"/>
    <w:multiLevelType w:val="hybridMultilevel"/>
    <w:lvl w:ilvl="0">
      <w:lvlJc w:val="left"/>
      <w:lvlText w:val="•"/>
      <w:numFmt w:val="bullet"/>
      <w:start w:val="1"/>
    </w:lvl>
  </w:abstractNum>
  <w:abstractNum w:abstractNumId="22">
    <w:nsid w:val="7975E8EE"/>
    <w:multiLevelType w:val="hybridMultilevel"/>
    <w:lvl w:ilvl="0">
      <w:lvlJc w:val="left"/>
      <w:lvlText w:val="•"/>
      <w:numFmt w:val="bullet"/>
      <w:start w:val="1"/>
    </w:lvl>
  </w:abstractNum>
  <w:abstractNum w:abstractNumId="23">
    <w:nsid w:val="73154115"/>
    <w:multiLevelType w:val="hybridMultilevel"/>
    <w:lvl w:ilvl="0">
      <w:lvlJc w:val="left"/>
      <w:lvlText w:val="•"/>
      <w:numFmt w:val="bullet"/>
      <w:start w:val="1"/>
    </w:lvl>
  </w:abstractNum>
  <w:abstractNum w:abstractNumId="24">
    <w:nsid w:val="622D8102"/>
    <w:multiLevelType w:val="hybridMultilevel"/>
    <w:lvl w:ilvl="0">
      <w:lvlJc w:val="left"/>
      <w:lvlText w:val="•"/>
      <w:numFmt w:val="bullet"/>
      <w:start w:val="1"/>
    </w:lvl>
  </w:abstractNum>
  <w:abstractNum w:abstractNumId="25">
    <w:nsid w:val="2AB26587"/>
    <w:multiLevelType w:val="hybridMultilevel"/>
    <w:lvl w:ilvl="0">
      <w:lvlJc w:val="left"/>
      <w:lvlText w:val="•"/>
      <w:numFmt w:val="bullet"/>
      <w:start w:val="1"/>
    </w:lvl>
  </w:abstractNum>
  <w:abstractNum w:abstractNumId="26">
    <w:nsid w:val="44B3FA61"/>
    <w:multiLevelType w:val="hybridMultilevel"/>
    <w:lvl w:ilvl="0">
      <w:lvlJc w:val="left"/>
      <w:lvlText w:val="•"/>
      <w:numFmt w:val="bullet"/>
      <w:start w:val="1"/>
    </w:lvl>
  </w:abstractNum>
  <w:abstractNum w:abstractNumId="27">
    <w:nsid w:val="1C0CA67C"/>
    <w:multiLevelType w:val="hybridMultilevel"/>
    <w:lvl w:ilvl="0">
      <w:lvlJc w:val="left"/>
      <w:lvlText w:val="•"/>
      <w:numFmt w:val="bullet"/>
      <w:start w:val="1"/>
    </w:lvl>
  </w:abstractNum>
  <w:abstractNum w:abstractNumId="28">
    <w:nsid w:val="3D206613"/>
    <w:multiLevelType w:val="hybridMultilevel"/>
    <w:lvl w:ilvl="0">
      <w:lvlJc w:val="left"/>
      <w:lvlText w:val="(%1)"/>
      <w:numFmt w:val="decimal"/>
      <w:start w:val="1"/>
    </w:lvl>
  </w:abstractNum>
  <w:abstractNum w:abstractNumId="29">
    <w:nsid w:val="7993B662"/>
    <w:multiLevelType w:val="hybridMultilevel"/>
    <w:lvl w:ilvl="0">
      <w:lvlJc w:val="left"/>
      <w:lvlText w:val="•"/>
      <w:numFmt w:val="bullet"/>
      <w:start w:val="1"/>
    </w:lvl>
  </w:abstractNum>
  <w:abstractNum w:abstractNumId="30">
    <w:nsid w:val="3BAB699E"/>
    <w:multiLevelType w:val="hybridMultilevel"/>
    <w:lvl w:ilvl="0">
      <w:lvlJc w:val="left"/>
      <w:lvlText w:val="•"/>
      <w:numFmt w:val="bullet"/>
      <w:start w:val="1"/>
    </w:lvl>
  </w:abstractNum>
  <w:abstractNum w:abstractNumId="31">
    <w:nsid w:val="71315369"/>
    <w:multiLevelType w:val="hybridMultilevel"/>
    <w:lvl w:ilvl="0">
      <w:lvlJc w:val="left"/>
      <w:lvlText w:val="(%1)"/>
      <w:numFmt w:val="lowerRoman"/>
      <w:start w:val="5"/>
    </w:lvl>
  </w:abstractNum>
  <w:abstractNum w:abstractNumId="32">
    <w:nsid w:val="7BCFBAFC"/>
    <w:multiLevelType w:val="hybridMultilevel"/>
    <w:lvl w:ilvl="0">
      <w:lvlJc w:val="left"/>
      <w:lvlText w:val="•"/>
      <w:numFmt w:val="bullet"/>
      <w:start w:val="1"/>
    </w:lvl>
  </w:abstractNum>
  <w:abstractNum w:abstractNumId="33">
    <w:nsid w:val="17859F72"/>
    <w:multiLevelType w:val="hybridMultilevel"/>
    <w:lvl w:ilvl="0">
      <w:lvlJc w:val="left"/>
      <w:lvlText w:val="(%1)"/>
      <w:numFmt w:val="decimal"/>
      <w:start w:val="1"/>
    </w:lvl>
  </w:abstractNum>
  <w:abstractNum w:abstractNumId="34">
    <w:nsid w:val="3AA10581"/>
    <w:multiLevelType w:val="hybridMultilevel"/>
    <w:lvl w:ilvl="0">
      <w:lvlJc w:val="left"/>
      <w:lvlText w:val="​"/>
      <w:numFmt w:val="bullet"/>
      <w:start w:val="1"/>
    </w:lvl>
  </w:abstractNum>
  <w:abstractNum w:abstractNumId="35">
    <w:nsid w:val="63DE60CD"/>
    <w:multiLevelType w:val="hybridMultilevel"/>
    <w:lvl w:ilvl="0">
      <w:lvlJc w:val="left"/>
      <w:lvlText w:val="​​"/>
      <w:numFmt w:val="bullet"/>
      <w:start w:val="1"/>
    </w:lvl>
  </w:abstractNum>
  <w:abstractNum w:abstractNumId="36">
    <w:nsid w:val="621AF471"/>
    <w:multiLevelType w:val="hybridMultilevel"/>
    <w:lvl w:ilvl="0">
      <w:lvlJc w:val="left"/>
      <w:lvlText w:val="​​"/>
      <w:numFmt w:val="bullet"/>
      <w:start w:val="1"/>
    </w:lvl>
  </w:abstractNum>
  <w:abstractNum w:abstractNumId="37">
    <w:nsid w:val="73CFE165"/>
    <w:multiLevelType w:val="hybridMultilevel"/>
    <w:lvl w:ilvl="0">
      <w:lvlJc w:val="left"/>
      <w:lvlText w:val="​​"/>
      <w:numFmt w:val="bullet"/>
      <w:start w:val="1"/>
    </w:lvl>
  </w:abstractNum>
  <w:abstractNum w:abstractNumId="38">
    <w:nsid w:val="20F88EA6"/>
    <w:multiLevelType w:val="hybridMultilevel"/>
    <w:lvl w:ilvl="0">
      <w:lvlJc w:val="left"/>
      <w:lvlText w:val="​​"/>
      <w:numFmt w:val="bullet"/>
      <w:start w:val="1"/>
    </w:lvl>
  </w:abstractNum>
  <w:abstractNum w:abstractNumId="39">
    <w:nsid w:val="617C843E"/>
    <w:multiLevelType w:val="hybridMultilevel"/>
    <w:lvl w:ilvl="0">
      <w:lvlJc w:val="left"/>
      <w:lvlText w:val="(%1)"/>
      <w:numFmt w:val="decimal"/>
      <w:start w:val="1"/>
    </w:lvl>
  </w:abstractNum>
  <w:abstractNum w:abstractNumId="40">
    <w:nsid w:val="7B541FAB"/>
    <w:multiLevelType w:val="hybridMultilevel"/>
    <w:lvl w:ilvl="0">
      <w:lvlJc w:val="left"/>
      <w:lvlText w:val="(%1)"/>
      <w:numFmt w:val="decimal"/>
      <w:start w:val="1"/>
    </w:lvl>
  </w:abstractNum>
  <w:abstractNum w:abstractNumId="41">
    <w:nsid w:val="2A79EC49"/>
    <w:multiLevelType w:val="hybridMultilevel"/>
    <w:lvl w:ilvl="0">
      <w:lvlJc w:val="left"/>
      <w:lvlText w:val="(%1)"/>
      <w:numFmt w:val="lowerRoman"/>
      <w:start w:val="2"/>
    </w:lvl>
  </w:abstractNum>
  <w:abstractNum w:abstractNumId="42">
    <w:nsid w:val="338125CF"/>
    <w:multiLevelType w:val="hybridMultilevel"/>
    <w:lvl w:ilvl="0">
      <w:lvlJc w:val="left"/>
      <w:lvlText w:val="​"/>
      <w:numFmt w:val="bullet"/>
      <w:start w:val="1"/>
    </w:lvl>
  </w:abstractNum>
  <w:abstractNum w:abstractNumId="43">
    <w:nsid w:val="47C7C971"/>
    <w:multiLevelType w:val="hybridMultilevel"/>
    <w:lvl w:ilvl="0">
      <w:lvlJc w:val="left"/>
      <w:lvlText w:val="(%1)"/>
      <w:numFmt w:val="decimal"/>
      <w:start w:val="1"/>
    </w:lvl>
  </w:abstractNum>
  <w:abstractNum w:abstractNumId="44">
    <w:nsid w:val="46F8284B"/>
    <w:multiLevelType w:val="hybridMultilevel"/>
    <w:lvl w:ilvl="0">
      <w:lvlJc w:val="left"/>
      <w:lvlText w:val="(%1)"/>
      <w:numFmt w:val="decimal"/>
      <w:start w:val="1"/>
    </w:lvl>
  </w:abstractNum>
  <w:abstractNum w:abstractNumId="45">
    <w:nsid w:val="4FA327CE"/>
    <w:multiLevelType w:val="hybridMultilevel"/>
    <w:lvl w:ilvl="0">
      <w:lvlJc w:val="left"/>
      <w:lvlText w:val="(%1)"/>
      <w:numFmt w:val="lowerRoman"/>
      <w:start w:val="2"/>
    </w:lvl>
  </w:abstractNum>
  <w:abstractNum w:abstractNumId="46">
    <w:nsid w:val="1873983A"/>
    <w:multiLevelType w:val="hybridMultilevel"/>
    <w:lvl w:ilvl="0">
      <w:lvlJc w:val="left"/>
      <w:lvlText w:val="(%1)"/>
      <w:numFmt w:val="lowerRoman"/>
      <w:start w:val="4"/>
    </w:lvl>
  </w:abstractNum>
  <w:abstractNum w:abstractNumId="47">
    <w:nsid w:val="3D2DD275"/>
    <w:multiLevelType w:val="hybridMultilevel"/>
    <w:lvl w:ilvl="0">
      <w:lvlJc w:val="left"/>
      <w:lvlText w:val="(%1)"/>
      <w:numFmt w:val="lowerRoman"/>
      <w:start w:val="1"/>
    </w:lvl>
  </w:abstractNum>
  <w:abstractNum w:abstractNumId="48">
    <w:nsid w:val="2E17ECA7"/>
    <w:multiLevelType w:val="hybridMultilevel"/>
    <w:lvl w:ilvl="0">
      <w:lvlJc w:val="left"/>
      <w:lvlText w:val="(%1)"/>
      <w:numFmt w:val="decimal"/>
      <w:start w:val="1"/>
    </w:lvl>
  </w:abstractNum>
  <w:abstractNum w:abstractNumId="49">
    <w:nsid w:val="53B2564F"/>
    <w:multiLevelType w:val="hybridMultilevel"/>
    <w:lvl w:ilvl="0">
      <w:lvlJc w:val="left"/>
      <w:lvlText w:val="•"/>
      <w:numFmt w:val="bullet"/>
      <w:start w:val="1"/>
    </w:lvl>
  </w:abstractNum>
  <w:abstractNum w:abstractNumId="50">
    <w:nsid w:val="75509D76"/>
    <w:multiLevelType w:val="hybridMultilevel"/>
    <w:lvl w:ilvl="0">
      <w:lvlJc w:val="left"/>
      <w:lvlText w:val="•"/>
      <w:numFmt w:val="bullet"/>
      <w:start w:val="1"/>
    </w:lvl>
  </w:abstractNum>
  <w:abstractNum w:abstractNumId="51">
    <w:nsid w:val="1AF7F0EA"/>
    <w:multiLevelType w:val="hybridMultilevel"/>
    <w:lvl w:ilvl="0">
      <w:lvlJc w:val="left"/>
      <w:lvlText w:val="•"/>
      <w:numFmt w:val="bullet"/>
      <w:start w:val="1"/>
    </w:lvl>
  </w:abstractNum>
  <w:abstractNum w:abstractNumId="52">
    <w:nsid w:val="4DA32C7E"/>
    <w:multiLevelType w:val="hybridMultilevel"/>
    <w:lvl w:ilvl="0">
      <w:lvlJc w:val="left"/>
      <w:lvlText w:val="•"/>
      <w:numFmt w:val="bullet"/>
      <w:start w:val="1"/>
    </w:lvl>
  </w:abstractNum>
  <w:abstractNum w:abstractNumId="53">
    <w:nsid w:val="6EC68664"/>
    <w:multiLevelType w:val="hybridMultilevel"/>
    <w:lvl w:ilvl="0">
      <w:lvlJc w:val="left"/>
      <w:lvlText w:val="(%1)"/>
      <w:numFmt w:val="lowerRoman"/>
      <w:start w:val="1"/>
    </w:lvl>
  </w:abstractNum>
  <w:abstractNum w:abstractNumId="54">
    <w:nsid w:val="E0D31FF"/>
    <w:multiLevelType w:val="hybridMultilevel"/>
    <w:lvl w:ilvl="0">
      <w:lvlJc w:val="left"/>
      <w:lvlText w:val="​"/>
      <w:numFmt w:val="bullet"/>
      <w:start w:val="1"/>
    </w:lvl>
  </w:abstractNum>
  <w:abstractNum w:abstractNumId="55">
    <w:nsid w:val="2FD0AD81"/>
    <w:multiLevelType w:val="hybridMultilevel"/>
    <w:lvl w:ilvl="0">
      <w:lvlJc w:val="left"/>
      <w:lvlText w:val="​"/>
      <w:numFmt w:val="bullet"/>
      <w:start w:val="1"/>
    </w:lvl>
  </w:abstractNum>
  <w:abstractNum w:abstractNumId="56">
    <w:nsid w:val="1978EBEB"/>
    <w:multiLevelType w:val="hybridMultilevel"/>
    <w:lvl w:ilvl="0">
      <w:lvlJc w:val="left"/>
      <w:lvlText w:val="(%1)"/>
      <w:numFmt w:val="decimal"/>
      <w:start w:val="1"/>
    </w:lvl>
  </w:abstractNum>
  <w:abstractNum w:abstractNumId="57">
    <w:nsid w:val="52C12C61"/>
    <w:multiLevelType w:val="hybridMultilevel"/>
    <w:lvl w:ilvl="0">
      <w:lvlJc w:val="left"/>
      <w:lvlText w:val="(%1)"/>
      <w:numFmt w:val="decimal"/>
      <w:start w:val="2"/>
    </w:lvl>
  </w:abstractNum>
  <w:abstractNum w:abstractNumId="58">
    <w:nsid w:val="4BDD53FD"/>
    <w:multiLevelType w:val="hybridMultilevel"/>
    <w:lvl w:ilvl="0">
      <w:lvlJc w:val="left"/>
      <w:lvlText w:val="(%1)"/>
      <w:numFmt w:val="lowerRoman"/>
      <w:start w:val="1"/>
    </w:lvl>
  </w:abstractNum>
  <w:abstractNum w:abstractNumId="59">
    <w:nsid w:val="569951FE"/>
    <w:multiLevelType w:val="hybridMultilevel"/>
    <w:lvl w:ilvl="0">
      <w:lvlJc w:val="left"/>
      <w:lvlText w:val="(%1)"/>
      <w:numFmt w:val="lowerRoman"/>
      <w:start w:val="1"/>
    </w:lvl>
  </w:abstractNum>
  <w:abstractNum w:abstractNumId="60">
    <w:nsid w:val="4C54E2C3"/>
    <w:multiLevelType w:val="hybridMultilevel"/>
    <w:lvl w:ilvl="0">
      <w:lvlJc w:val="left"/>
      <w:lvlText w:val="(%1)"/>
      <w:numFmt w:val="lowerRoman"/>
      <w:start w:val="3"/>
    </w:lvl>
  </w:abstractNum>
  <w:abstractNum w:abstractNumId="61">
    <w:nsid w:val="788BD9B"/>
    <w:multiLevelType w:val="hybridMultilevel"/>
    <w:lvl w:ilvl="0">
      <w:lvlJc w:val="left"/>
      <w:lvlText w:val="•"/>
      <w:numFmt w:val="bullet"/>
      <w:start w:val="1"/>
    </w:lvl>
  </w:abstractNum>
  <w:abstractNum w:abstractNumId="62">
    <w:nsid w:val="47CAA567"/>
    <w:multiLevelType w:val="hybridMultilevel"/>
    <w:lvl w:ilvl="0">
      <w:lvlJc w:val="left"/>
      <w:lvlText w:val="(%1)"/>
      <w:numFmt w:val="decimal"/>
      <w:start w:val="1"/>
    </w:lvl>
  </w:abstractNum>
  <w:abstractNum w:abstractNumId="63">
    <w:nsid w:val="48249DBF"/>
    <w:multiLevelType w:val="hybridMultilevel"/>
    <w:lvl w:ilvl="0">
      <w:lvlJc w:val="left"/>
      <w:lvlText w:val="(%1)"/>
      <w:numFmt w:val="decimal"/>
      <w:start w:val="1"/>
    </w:lvl>
  </w:abstractNum>
  <w:abstractNum w:abstractNumId="64">
    <w:nsid w:val="1F0E5D0D"/>
    <w:multiLevelType w:val="hybridMultilevel"/>
    <w:lvl w:ilvl="0">
      <w:lvlJc w:val="left"/>
      <w:lvlText w:val="•"/>
      <w:numFmt w:val="bullet"/>
      <w:start w:val="1"/>
    </w:lvl>
  </w:abstractNum>
  <w:abstractNum w:abstractNumId="65">
    <w:nsid w:val="26BAAE9"/>
    <w:multiLevelType w:val="hybridMultilevel"/>
    <w:lvl w:ilvl="0">
      <w:lvlJc w:val="left"/>
      <w:lvlText w:val="•"/>
      <w:numFmt w:val="bullet"/>
      <w:start w:val="1"/>
    </w:lvl>
  </w:abstractNum>
  <w:abstractNum w:abstractNumId="66">
    <w:nsid w:val="2C02FE8C"/>
    <w:multiLevelType w:val="hybridMultilevel"/>
    <w:lvl w:ilvl="0">
      <w:lvlJc w:val="left"/>
      <w:lvlText w:val="•"/>
      <w:numFmt w:val="bullet"/>
      <w:start w:val="1"/>
    </w:lvl>
  </w:abstractNum>
  <w:abstractNum w:abstractNumId="67">
    <w:nsid w:val="129517E"/>
    <w:multiLevelType w:val="hybridMultilevel"/>
    <w:lvl w:ilvl="0">
      <w:lvlJc w:val="left"/>
      <w:lvlText w:val="•"/>
      <w:numFmt w:val="bullet"/>
      <w:start w:val="1"/>
    </w:lvl>
  </w:abstractNum>
  <w:abstractNum w:abstractNumId="68">
    <w:nsid w:val="763B8C4E"/>
    <w:multiLevelType w:val="hybridMultilevel"/>
    <w:lvl w:ilvl="0">
      <w:lvlJc w:val="left"/>
      <w:lvlText w:val="•"/>
      <w:numFmt w:val="bullet"/>
      <w:start w:val="1"/>
    </w:lvl>
  </w:abstractNum>
  <w:abstractNum w:abstractNumId="69">
    <w:nsid w:val="4CFB8D32"/>
    <w:multiLevelType w:val="hybridMultilevel"/>
    <w:lvl w:ilvl="0">
      <w:lvlJc w:val="left"/>
      <w:lvlText w:val="•"/>
      <w:numFmt w:val="bullet"/>
      <w:start w:val="1"/>
    </w:lvl>
  </w:abstractNum>
  <w:abstractNum w:abstractNumId="70">
    <w:nsid w:val="62A5D5BD"/>
    <w:multiLevelType w:val="hybridMultilevel"/>
    <w:lvl w:ilvl="0">
      <w:lvlJc w:val="left"/>
      <w:lvlText w:val="•"/>
      <w:numFmt w:val="bullet"/>
      <w:start w:val="1"/>
    </w:lvl>
  </w:abstractNum>
  <w:abstractNum w:abstractNumId="71">
    <w:nsid w:val="718FABF9"/>
    <w:multiLevelType w:val="hybridMultilevel"/>
    <w:lvl w:ilvl="0">
      <w:lvlJc w:val="left"/>
      <w:lvlText w:val="(%1)"/>
      <w:numFmt w:val="lowerRoman"/>
      <w:start w:val="4"/>
    </w:lvl>
  </w:abstractNum>
  <w:abstractNum w:abstractNumId="72">
    <w:nsid w:val="7775797C"/>
    <w:multiLevelType w:val="hybridMultilevel"/>
    <w:lvl w:ilvl="0">
      <w:lvlJc w:val="left"/>
      <w:lvlText w:val="•"/>
      <w:numFmt w:val="bullet"/>
      <w:start w:val="1"/>
    </w:lvl>
  </w:abstractNum>
  <w:abstractNum w:abstractNumId="73">
    <w:nsid w:val="1626FB8C"/>
    <w:multiLevelType w:val="hybridMultilevel"/>
    <w:lvl w:ilvl="0">
      <w:lvlJc w:val="left"/>
      <w:lvlText w:val="•"/>
      <w:numFmt w:val="bullet"/>
      <w:start w:val="1"/>
    </w:lvl>
  </w:abstractNum>
  <w:abstractNum w:abstractNumId="74">
    <w:nsid w:val="3957756A"/>
    <w:multiLevelType w:val="hybridMultilevel"/>
    <w:lvl w:ilvl="0">
      <w:lvlJc w:val="left"/>
      <w:lvlText w:val="•"/>
      <w:numFmt w:val="bullet"/>
      <w:start w:val="1"/>
    </w:lvl>
  </w:abstractNum>
  <w:abstractNum w:abstractNumId="75">
    <w:nsid w:val="3E6DA1C7"/>
    <w:multiLevelType w:val="hybridMultilevel"/>
    <w:lvl w:ilvl="0">
      <w:lvlJc w:val="left"/>
      <w:lvlText w:val=" "/>
      <w:numFmt w:val="bullet"/>
      <w:start w:val="1"/>
    </w:lvl>
    <w:lvl w:ilvl="1">
      <w:lvlJc w:val="left"/>
      <w:lvlText w:val="•"/>
      <w:numFmt w:val="bullet"/>
      <w:start w:val="1"/>
    </w:lvl>
  </w:abstractNum>
  <w:abstractNum w:abstractNumId="76">
    <w:nsid w:val="65CA235B"/>
    <w:multiLevelType w:val="hybridMultilevel"/>
    <w:lvl w:ilvl="0">
      <w:lvlJc w:val="left"/>
      <w:lvlText w:val="•"/>
      <w:numFmt w:val="bullet"/>
      <w:start w:val="1"/>
    </w:lvl>
  </w:abstractNum>
  <w:abstractNum w:abstractNumId="77">
    <w:nsid w:val="51CB0DA4"/>
    <w:multiLevelType w:val="hybridMultilevel"/>
    <w:lvl w:ilvl="0">
      <w:lvlJc w:val="left"/>
      <w:lvlText w:val="•"/>
      <w:numFmt w:val="bullet"/>
      <w:start w:val="1"/>
    </w:lvl>
  </w:abstractNum>
  <w:abstractNum w:abstractNumId="78">
    <w:nsid w:val="7B9B743C"/>
    <w:multiLevelType w:val="hybridMultilevel"/>
    <w:lvl w:ilvl="0">
      <w:lvlJc w:val="left"/>
      <w:lvlText w:val="•"/>
      <w:numFmt w:val="bullet"/>
      <w:start w:val="1"/>
    </w:lvl>
  </w:abstractNum>
  <w:abstractNum w:abstractNumId="79">
    <w:nsid w:val="13E21002"/>
    <w:multiLevelType w:val="hybridMultilevel"/>
    <w:lvl w:ilvl="0">
      <w:lvlJc w:val="left"/>
      <w:lvlText w:val="†"/>
      <w:numFmt w:val="bullet"/>
      <w:start w:val="1"/>
    </w:lvl>
  </w:abstractNum>
  <w:abstractNum w:abstractNumId="80">
    <w:nsid w:val="257D63F4"/>
    <w:multiLevelType w:val="hybridMultilevel"/>
    <w:lvl w:ilvl="0">
      <w:lvlJc w:val="left"/>
      <w:lvlText w:val="*"/>
      <w:numFmt w:val="bullet"/>
      <w:start w:val="1"/>
    </w:lvl>
  </w:abstractNum>
  <w:abstractNum w:abstractNumId="81">
    <w:nsid w:val="70EC11B2"/>
    <w:multiLevelType w:val="hybridMultilevel"/>
    <w:lvl w:ilvl="0">
      <w:lvlJc w:val="left"/>
      <w:lvlText w:val="**"/>
      <w:numFmt w:val="bullet"/>
      <w:start w:val="1"/>
    </w:lvl>
  </w:abstractNum>
  <w:abstractNum w:abstractNumId="82">
    <w:nsid w:val="2EDA00ED"/>
    <w:multiLevelType w:val="hybridMultilevel"/>
    <w:lvl w:ilvl="0">
      <w:lvlJc w:val="left"/>
      <w:lvlText w:val="***"/>
      <w:numFmt w:val="bullet"/>
      <w:start w:val="1"/>
    </w:lvl>
  </w:abstractNum>
  <w:abstractNum w:abstractNumId="83">
    <w:nsid w:val="73209072"/>
    <w:multiLevelType w:val="hybridMultilevel"/>
    <w:lvl w:ilvl="0">
      <w:lvlJc w:val="left"/>
      <w:lvlText w:val="(%1)"/>
      <w:numFmt w:val="decimal"/>
      <w:start w:val="1"/>
    </w:lvl>
  </w:abstractNum>
  <w:abstractNum w:abstractNumId="84">
    <w:nsid w:val="5FB29816"/>
    <w:multiLevelType w:val="hybridMultilevel"/>
    <w:lvl w:ilvl="0">
      <w:lvlJc w:val="left"/>
      <w:lvlText w:val="•"/>
      <w:numFmt w:val="bullet"/>
      <w:start w:val="1"/>
    </w:lvl>
  </w:abstractNum>
  <w:abstractNum w:abstractNumId="85">
    <w:nsid w:val="3CE732EC"/>
    <w:multiLevelType w:val="hybridMultilevel"/>
    <w:lvl w:ilvl="0">
      <w:lvlJc w:val="left"/>
      <w:lvlText w:val="•"/>
      <w:numFmt w:val="bullet"/>
      <w:start w:val="1"/>
    </w:lvl>
  </w:abstractNum>
  <w:abstractNum w:abstractNumId="86">
    <w:nsid w:val="22F13DF3"/>
    <w:multiLevelType w:val="hybridMultilevel"/>
    <w:lvl w:ilvl="0">
      <w:lvlJc w:val="left"/>
      <w:lvlText w:val="•"/>
      <w:numFmt w:val="bullet"/>
      <w:start w:val="1"/>
    </w:lvl>
  </w:abstractNum>
  <w:abstractNum w:abstractNumId="87">
    <w:nsid w:val="792B8401"/>
    <w:multiLevelType w:val="hybridMultilevel"/>
    <w:lvl w:ilvl="0">
      <w:lvlJc w:val="left"/>
      <w:lvlText w:val="•"/>
      <w:numFmt w:val="bullet"/>
      <w:start w:val="1"/>
    </w:lvl>
  </w:abstractNum>
  <w:abstractNum w:abstractNumId="88">
    <w:nsid w:val="FA85F4D"/>
    <w:multiLevelType w:val="hybridMultilevel"/>
    <w:lvl w:ilvl="0">
      <w:lvlJc w:val="left"/>
      <w:lvlText w:val="•"/>
      <w:numFmt w:val="bullet"/>
      <w:start w:val="1"/>
    </w:lvl>
  </w:abstractNum>
  <w:abstractNum w:abstractNumId="89">
    <w:nsid w:val="6ECE91F0"/>
    <w:multiLevelType w:val="hybridMultilevel"/>
    <w:lvl w:ilvl="0">
      <w:lvlJc w:val="left"/>
      <w:lvlText w:val="•"/>
      <w:numFmt w:val="bullet"/>
      <w:start w:val="1"/>
    </w:lvl>
  </w:abstractNum>
  <w:abstractNum w:abstractNumId="90">
    <w:nsid w:val="4FC4D600"/>
    <w:multiLevelType w:val="hybridMultilevel"/>
    <w:lvl w:ilvl="0">
      <w:lvlJc w:val="left"/>
      <w:lvlText w:val="•"/>
      <w:numFmt w:val="bullet"/>
      <w:start w:val="1"/>
    </w:lvl>
  </w:abstractNum>
  <w:abstractNum w:abstractNumId="91">
    <w:nsid w:val="5BFD4210"/>
    <w:multiLevelType w:val="hybridMultilevel"/>
    <w:lvl w:ilvl="0">
      <w:lvlJc w:val="left"/>
      <w:lvlText w:val="(%1)"/>
      <w:numFmt w:val="lowerRoman"/>
      <w:start w:val="2"/>
    </w:lvl>
  </w:abstractNum>
  <w:abstractNum w:abstractNumId="92">
    <w:nsid w:val="76574F8B"/>
    <w:multiLevelType w:val="hybridMultilevel"/>
    <w:lvl w:ilvl="0">
      <w:lvlJc w:val="left"/>
      <w:lvlText w:val="(%1)"/>
      <w:numFmt w:val="decimal"/>
      <w:start w:val="10"/>
    </w:lvl>
  </w:abstractNum>
  <w:abstractNum w:abstractNumId="93">
    <w:nsid w:val="178F7B67"/>
    <w:multiLevelType w:val="hybridMultilevel"/>
    <w:lvl w:ilvl="0">
      <w:lvlJc w:val="left"/>
      <w:lvlText w:val=" "/>
      <w:numFmt w:val="bullet"/>
      <w:start w:val="1"/>
    </w:lvl>
  </w:abstractNum>
  <w:abstractNum w:abstractNumId="94">
    <w:nsid w:val="2421DFCF"/>
    <w:multiLevelType w:val="hybridMultilevel"/>
    <w:lvl w:ilvl="0">
      <w:lvlJc w:val="left"/>
      <w:lvlText w:val="•"/>
      <w:numFmt w:val="bullet"/>
      <w:start w:val="1"/>
    </w:lvl>
  </w:abstractNum>
  <w:abstractNum w:abstractNumId="95">
    <w:nsid w:val="1565AC99"/>
    <w:multiLevelType w:val="hybridMultilevel"/>
    <w:lvl w:ilvl="0">
      <w:lvlJc w:val="left"/>
      <w:lvlText w:val="•"/>
      <w:numFmt w:val="bullet"/>
      <w:start w:val="1"/>
    </w:lvl>
  </w:abstractNum>
  <w:abstractNum w:abstractNumId="96">
    <w:nsid w:val="19FB2650"/>
    <w:multiLevelType w:val="hybridMultilevel"/>
    <w:lvl w:ilvl="0">
      <w:lvlJc w:val="left"/>
      <w:lvlText w:val="•"/>
      <w:numFmt w:val="bullet"/>
      <w:start w:val="1"/>
    </w:lvl>
  </w:abstractNum>
  <w:abstractNum w:abstractNumId="97">
    <w:nsid w:val="5024DE5B"/>
    <w:multiLevelType w:val="hybridMultilevel"/>
    <w:lvl w:ilvl="0">
      <w:lvlJc w:val="left"/>
      <w:lvlText w:val="•"/>
      <w:numFmt w:val="bullet"/>
      <w:start w:val="1"/>
    </w:lvl>
  </w:abstractNum>
  <w:abstractNum w:abstractNumId="98">
    <w:nsid w:val="168EFE17"/>
    <w:multiLevelType w:val="hybridMultilevel"/>
    <w:lvl w:ilvl="0">
      <w:lvlJc w:val="left"/>
      <w:lvlText w:val="•"/>
      <w:numFmt w:val="bullet"/>
      <w:start w:val="1"/>
    </w:lvl>
  </w:abstractNum>
  <w:abstractNum w:abstractNumId="99">
    <w:nsid w:val="1036B29F"/>
    <w:multiLevelType w:val="hybridMultilevel"/>
    <w:lvl w:ilvl="0">
      <w:lvlJc w:val="left"/>
      <w:lvlText w:val="•"/>
      <w:numFmt w:val="bullet"/>
      <w:start w:val="1"/>
    </w:lvl>
  </w:abstractNum>
  <w:abstractNum w:abstractNumId="100">
    <w:nsid w:val="1D206B8E"/>
    <w:multiLevelType w:val="hybridMultilevel"/>
    <w:lvl w:ilvl="0">
      <w:lvlJc w:val="left"/>
      <w:lvlText w:val="(%1)"/>
      <w:numFmt w:val="lowerRoman"/>
      <w:start w:val="2"/>
    </w:lvl>
  </w:abstractNum>
  <w:abstractNum w:abstractNumId="101">
    <w:nsid w:val="7934D3D4"/>
    <w:multiLevelType w:val="hybridMultilevel"/>
    <w:lvl w:ilvl="0">
      <w:lvlJc w:val="left"/>
      <w:lvlText w:val="•"/>
      <w:numFmt w:val="bullet"/>
      <w:start w:val="1"/>
    </w:lvl>
  </w:abstractNum>
  <w:abstractNum w:abstractNumId="102">
    <w:nsid w:val="1C65E98"/>
    <w:multiLevelType w:val="hybridMultilevel"/>
    <w:lvl w:ilvl="0">
      <w:lvlJc w:val="left"/>
      <w:lvlText w:val="•"/>
      <w:numFmt w:val="bullet"/>
      <w:start w:val="1"/>
    </w:lvl>
  </w:abstractNum>
  <w:abstractNum w:abstractNumId="103">
    <w:nsid w:val="1495E50A"/>
    <w:multiLevelType w:val="hybridMultilevel"/>
    <w:lvl w:ilvl="0">
      <w:lvlJc w:val="left"/>
      <w:lvlText w:val="•"/>
      <w:numFmt w:val="bullet"/>
      <w:start w:val="1"/>
    </w:lvl>
  </w:abstractNum>
  <w:abstractNum w:abstractNumId="104">
    <w:nsid w:val="F5BCF61"/>
    <w:multiLevelType w:val="hybridMultilevel"/>
    <w:lvl w:ilvl="0">
      <w:lvlJc w:val="left"/>
      <w:lvlText w:val="•"/>
      <w:numFmt w:val="bullet"/>
      <w:start w:val="1"/>
    </w:lvl>
  </w:abstractNum>
  <w:abstractNum w:abstractNumId="105">
    <w:nsid w:val="3B1DD403"/>
    <w:multiLevelType w:val="hybridMultilevel"/>
    <w:lvl w:ilvl="0">
      <w:lvlJc w:val="left"/>
      <w:lvlText w:val="•"/>
      <w:numFmt w:val="bullet"/>
      <w:start w:val="1"/>
    </w:lvl>
  </w:abstractNum>
  <w:abstractNum w:abstractNumId="106">
    <w:nsid w:val="530386D1"/>
    <w:multiLevelType w:val="hybridMultilevel"/>
    <w:lvl w:ilvl="0">
      <w:lvlJc w:val="left"/>
      <w:lvlText w:val="•"/>
      <w:numFmt w:val="bullet"/>
      <w:start w:val="1"/>
    </w:lvl>
  </w:abstractNum>
  <w:abstractNum w:abstractNumId="107">
    <w:nsid w:val="7525F2BC"/>
    <w:multiLevelType w:val="hybridMultilevel"/>
    <w:lvl w:ilvl="0">
      <w:lvlJc w:val="left"/>
      <w:lvlText w:val="•"/>
      <w:numFmt w:val="bullet"/>
      <w:start w:val="1"/>
    </w:lvl>
  </w:abstractNum>
  <w:abstractNum w:abstractNumId="108">
    <w:nsid w:val="CE8E1A7"/>
    <w:multiLevelType w:val="hybridMultilevel"/>
    <w:lvl w:ilvl="0">
      <w:lvlJc w:val="left"/>
      <w:lvlText w:val="•"/>
      <w:numFmt w:val="bullet"/>
      <w:start w:val="1"/>
    </w:lvl>
  </w:abstractNum>
  <w:abstractNum w:abstractNumId="109">
    <w:nsid w:val="4E9EFB0D"/>
    <w:multiLevelType w:val="hybridMultilevel"/>
    <w:lvl w:ilvl="0">
      <w:lvlJc w:val="left"/>
      <w:lvlText w:val="(%1)"/>
      <w:numFmt w:val="lowerRoman"/>
      <w:start w:val="1"/>
    </w:lvl>
  </w:abstractNum>
  <w:abstractNum w:abstractNumId="110">
    <w:nsid w:val="90802BE"/>
    <w:multiLevelType w:val="hybridMultilevel"/>
    <w:lvl w:ilvl="0">
      <w:lvlJc w:val="left"/>
      <w:lvlText w:val="•"/>
      <w:numFmt w:val="bullet"/>
      <w:start w:val="1"/>
    </w:lvl>
  </w:abstractNum>
  <w:abstractNum w:abstractNumId="111">
    <w:nsid w:val="3266459B"/>
    <w:multiLevelType w:val="hybridMultilevel"/>
    <w:lvl w:ilvl="0">
      <w:lvlJc w:val="left"/>
      <w:lvlText w:val="•"/>
      <w:numFmt w:val="bullet"/>
      <w:start w:val="1"/>
    </w:lvl>
  </w:abstractNum>
  <w:abstractNum w:abstractNumId="112">
    <w:nsid w:val="3F8B0CBF"/>
    <w:multiLevelType w:val="hybridMultilevel"/>
    <w:lvl w:ilvl="0">
      <w:lvlJc w:val="left"/>
      <w:lvlText w:val="•"/>
      <w:numFmt w:val="bullet"/>
      <w:start w:val="1"/>
    </w:lvl>
  </w:abstractNum>
  <w:abstractNum w:abstractNumId="113">
    <w:nsid w:val="37E203AB"/>
    <w:multiLevelType w:val="hybridMultilevel"/>
    <w:lvl w:ilvl="0">
      <w:lvlJc w:val="left"/>
      <w:lvlText w:val="•"/>
      <w:numFmt w:val="bullet"/>
      <w:start w:val="1"/>
    </w:lvl>
  </w:abstractNum>
  <w:abstractNum w:abstractNumId="114">
    <w:nsid w:val="2586D60E"/>
    <w:multiLevelType w:val="hybridMultilevel"/>
    <w:lvl w:ilvl="0">
      <w:lvlJc w:val="left"/>
      <w:lvlText w:val="•"/>
      <w:numFmt w:val="bullet"/>
      <w:start w:val="1"/>
    </w:lvl>
  </w:abstractNum>
  <w:abstractNum w:abstractNumId="115">
    <w:nsid w:val="1F3DA4D5"/>
    <w:multiLevelType w:val="hybridMultilevel"/>
    <w:lvl w:ilvl="0">
      <w:lvlJc w:val="left"/>
      <w:lvlText w:val="(%1)"/>
      <w:numFmt w:val="lowerRoman"/>
      <w:start w:val="1"/>
    </w:lvl>
  </w:abstractNum>
  <w:abstractNum w:abstractNumId="116">
    <w:nsid w:val="74C93698"/>
    <w:multiLevelType w:val="hybridMultilevel"/>
    <w:lvl w:ilvl="0">
      <w:lvlJc w:val="left"/>
      <w:lvlText w:val="(%1)"/>
      <w:numFmt w:val="lowerRoman"/>
      <w:start w:val="1"/>
    </w:lvl>
  </w:abstractNum>
  <w:abstractNum w:abstractNumId="117">
    <w:nsid w:val="48781401"/>
    <w:multiLevelType w:val="hybridMultilevel"/>
    <w:lvl w:ilvl="0">
      <w:lvlJc w:val="left"/>
      <w:lvlText w:val="•"/>
      <w:numFmt w:val="bullet"/>
      <w:start w:val="1"/>
    </w:lvl>
  </w:abstractNum>
  <w:abstractNum w:abstractNumId="118">
    <w:nsid w:val="186928D6"/>
    <w:multiLevelType w:val="hybridMultilevel"/>
    <w:lvl w:ilvl="0">
      <w:lvlJc w:val="left"/>
      <w:lvlText w:val="•"/>
      <w:numFmt w:val="bullet"/>
      <w:start w:val="1"/>
    </w:lvl>
  </w:abstractNum>
  <w:abstractNum w:abstractNumId="119">
    <w:nsid w:val="47195E5"/>
    <w:multiLevelType w:val="hybridMultilevel"/>
    <w:lvl w:ilvl="0">
      <w:lvlJc w:val="left"/>
      <w:lvlText w:val="•"/>
      <w:numFmt w:val="bullet"/>
      <w:start w:val="1"/>
    </w:lvl>
  </w:abstractNum>
  <w:abstractNum w:abstractNumId="120">
    <w:nsid w:val="3746A5F2"/>
    <w:multiLevelType w:val="hybridMultilevel"/>
    <w:lvl w:ilvl="0">
      <w:lvlJc w:val="left"/>
      <w:lvlText w:val="​"/>
      <w:numFmt w:val="bullet"/>
      <w:start w:val="1"/>
    </w:lvl>
  </w:abstractNum>
  <w:abstractNum w:abstractNumId="121">
    <w:nsid w:val="682DFED6"/>
    <w:multiLevelType w:val="hybridMultilevel"/>
    <w:lvl w:ilvl="0">
      <w:lvlJc w:val="left"/>
      <w:lvlText w:val="*"/>
      <w:numFmt w:val="bullet"/>
      <w:start w:val="1"/>
    </w:lvl>
  </w:abstractNum>
  <w:abstractNum w:abstractNumId="122">
    <w:nsid w:val="606ED7F6"/>
    <w:multiLevelType w:val="hybridMultilevel"/>
    <w:lvl w:ilvl="0">
      <w:lvlJc w:val="left"/>
      <w:lvlText w:val="​​​"/>
      <w:numFmt w:val="bullet"/>
      <w:start w:val="1"/>
    </w:lvl>
  </w:abstractNum>
  <w:abstractNum w:abstractNumId="123">
    <w:nsid w:val="2D9DF57D"/>
    <w:multiLevelType w:val="hybridMultilevel"/>
    <w:lvl w:ilvl="0">
      <w:lvlJc w:val="left"/>
      <w:lvlText w:val="​​​"/>
      <w:numFmt w:val="bullet"/>
      <w:start w:val="1"/>
    </w:lvl>
  </w:abstractNum>
  <w:abstractNum w:abstractNumId="124">
    <w:nsid w:val="7FBD7A3E"/>
    <w:multiLevelType w:val="hybridMultilevel"/>
    <w:lvl w:ilvl="0">
      <w:lvlJc w:val="left"/>
      <w:lvlText w:val="​​​"/>
      <w:numFmt w:val="bullet"/>
      <w:start w:val="1"/>
    </w:lvl>
  </w:abstractNum>
  <w:abstractNum w:abstractNumId="125">
    <w:nsid w:val="490B7C5"/>
    <w:multiLevelType w:val="hybridMultilevel"/>
    <w:lvl w:ilvl="0">
      <w:lvlJc w:val="left"/>
      <w:lvlText w:val="​​​"/>
      <w:numFmt w:val="bullet"/>
      <w:start w:val="1"/>
    </w:lvl>
  </w:abstractNum>
  <w:abstractNum w:abstractNumId="126">
    <w:nsid w:val="4303A216"/>
    <w:multiLevelType w:val="hybridMultilevel"/>
    <w:lvl w:ilvl="0">
      <w:lvlJc w:val="left"/>
      <w:lvlText w:val="*"/>
      <w:numFmt w:val="bullet"/>
      <w:start w:val="1"/>
    </w:lvl>
  </w:abstractNum>
  <w:abstractNum w:abstractNumId="127">
    <w:nsid w:val="19B8A08E"/>
    <w:multiLevelType w:val="hybridMultilevel"/>
    <w:lvl w:ilvl="0">
      <w:lvlJc w:val="left"/>
      <w:lvlText w:val="*"/>
      <w:numFmt w:val="bullet"/>
      <w:start w:val="1"/>
    </w:lvl>
  </w:abstractNum>
  <w:abstractNum w:abstractNumId="128">
    <w:nsid w:val="54B59621"/>
    <w:multiLevelType w:val="hybridMultilevel"/>
    <w:lvl w:ilvl="0">
      <w:lvlJc w:val="left"/>
      <w:lvlText w:val="%1."/>
      <w:numFmt w:val="decimal"/>
      <w:start w:val="1"/>
    </w:lvl>
  </w:abstractNum>
  <w:abstractNum w:abstractNumId="129">
    <w:nsid w:val="5992A02E"/>
    <w:multiLevelType w:val="hybridMultilevel"/>
    <w:lvl w:ilvl="0">
      <w:lvlJc w:val="left"/>
      <w:lvlText w:val="%1."/>
      <w:numFmt w:val="decimal"/>
      <w:start w:val="1"/>
    </w:lvl>
  </w:abstractNum>
  <w:abstractNum w:abstractNumId="130">
    <w:nsid w:val="29EF532D"/>
    <w:multiLevelType w:val="hybridMultilevel"/>
    <w:lvl w:ilvl="0">
      <w:lvlJc w:val="left"/>
      <w:lvlText w:val="​"/>
      <w:numFmt w:val="bullet"/>
      <w:start w:val="1"/>
    </w:lvl>
  </w:abstractNum>
  <w:abstractNum w:abstractNumId="131">
    <w:nsid w:val="71D601AF"/>
    <w:multiLevelType w:val="hybridMultilevel"/>
    <w:lvl w:ilvl="0">
      <w:lvlJc w:val="left"/>
      <w:lvlText w:val="%1."/>
      <w:numFmt w:val="decimal"/>
      <w:start w:val="1"/>
    </w:lvl>
  </w:abstractNum>
  <w:abstractNum w:abstractNumId="132">
    <w:nsid w:val="52C77402"/>
    <w:multiLevelType w:val="hybridMultilevel"/>
    <w:lvl w:ilvl="0">
      <w:lvlJc w:val="left"/>
      <w:lvlText w:val="%1."/>
      <w:numFmt w:val="decimal"/>
      <w:start w:val="2"/>
    </w:lvl>
  </w:abstractNum>
  <w:abstractNum w:abstractNumId="133">
    <w:nsid w:val="2BB5B1C6"/>
    <w:multiLevelType w:val="hybridMultilevel"/>
    <w:lvl w:ilvl="0">
      <w:lvlJc w:val="left"/>
      <w:lvlText w:val="%1."/>
      <w:numFmt w:val="decimal"/>
      <w:start w:val="2"/>
    </w:lvl>
  </w:abstractNum>
  <w:abstractNum w:abstractNumId="134">
    <w:nsid w:val="66BE6B9"/>
    <w:multiLevelType w:val="hybridMultilevel"/>
    <w:lvl w:ilvl="0">
      <w:lvlJc w:val="left"/>
      <w:lvlText w:val="(%1)"/>
      <w:numFmt w:val="lowerLetter"/>
      <w:start w:val="6"/>
    </w:lvl>
  </w:abstractNum>
  <w:abstractNum w:abstractNumId="135">
    <w:nsid w:val="62234363"/>
    <w:multiLevelType w:val="hybridMultilevel"/>
    <w:lvl w:ilvl="0">
      <w:lvlJc w:val="left"/>
      <w:lvlText w:val="%1."/>
      <w:numFmt w:val="decimal"/>
      <w:start w:val="2"/>
    </w:lvl>
  </w:abstractNum>
  <w:abstractNum w:abstractNumId="136">
    <w:nsid w:val="66D385C9"/>
    <w:multiLevelType w:val="hybridMultilevel"/>
    <w:lvl w:ilvl="0">
      <w:lvlJc w:val="left"/>
      <w:lvlText w:val="(%1)"/>
      <w:numFmt w:val="lowerLetter"/>
      <w:start w:val="8"/>
    </w:lvl>
  </w:abstractNum>
  <w:abstractNum w:abstractNumId="137">
    <w:nsid w:val="596F6D8A"/>
    <w:multiLevelType w:val="hybridMultilevel"/>
    <w:lvl w:ilvl="0">
      <w:lvlJc w:val="left"/>
      <w:lvlText w:val="%1."/>
      <w:numFmt w:val="decimal"/>
      <w:start w:val="2"/>
    </w:lvl>
  </w:abstractNum>
  <w:abstractNum w:abstractNumId="138">
    <w:nsid w:val="5749361F"/>
    <w:multiLevelType w:val="hybridMultilevel"/>
    <w:lvl w:ilvl="0">
      <w:lvlJc w:val="left"/>
      <w:lvlText w:val="(%1)"/>
      <w:numFmt w:val="lowerRoman"/>
      <w:start w:val="1"/>
    </w:lvl>
  </w:abstractNum>
  <w:abstractNum w:abstractNumId="139">
    <w:nsid w:val="73BC6770"/>
    <w:multiLevelType w:val="hybridMultilevel"/>
    <w:lvl w:ilvl="0">
      <w:lvlJc w:val="left"/>
      <w:lvlText w:val="(%1)"/>
      <w:numFmt w:val="lowerLetter"/>
      <w:start w:val="10"/>
    </w:lvl>
  </w:abstractNum>
  <w:abstractNum w:abstractNumId="140">
    <w:nsid w:val="280E6897"/>
    <w:multiLevelType w:val="hybridMultilevel"/>
    <w:lvl w:ilvl="0">
      <w:lvlJc w:val="left"/>
      <w:lvlText w:val="%1."/>
      <w:numFmt w:val="decimal"/>
      <w:start w:val="2"/>
    </w:lvl>
  </w:abstractNum>
  <w:abstractNum w:abstractNumId="141">
    <w:nsid w:val="605138DE"/>
    <w:multiLevelType w:val="hybridMultilevel"/>
    <w:lvl w:ilvl="0">
      <w:lvlJc w:val="left"/>
      <w:lvlText w:val="•"/>
      <w:numFmt w:val="bullet"/>
      <w:start w:val="1"/>
    </w:lvl>
  </w:abstractNum>
  <w:abstractNum w:abstractNumId="142">
    <w:nsid w:val="2622AD0C"/>
    <w:multiLevelType w:val="hybridMultilevel"/>
    <w:lvl w:ilvl="0">
      <w:lvlJc w:val="left"/>
      <w:lvlText w:val="%1."/>
      <w:numFmt w:val="decimal"/>
      <w:start w:val="2"/>
    </w:lvl>
  </w:abstractNum>
  <w:abstractNum w:abstractNumId="143">
    <w:nsid w:val="67997556"/>
    <w:multiLevelType w:val="hybridMultilevel"/>
    <w:lvl w:ilvl="0">
      <w:lvlJc w:val="left"/>
      <w:lvlText w:val="%1."/>
      <w:numFmt w:val="decimal"/>
      <w:start w:val="2"/>
    </w:lvl>
  </w:abstractNum>
  <w:abstractNum w:abstractNumId="144">
    <w:nsid w:val="18333C89"/>
    <w:multiLevelType w:val="hybridMultilevel"/>
    <w:lvl w:ilvl="0">
      <w:lvlJc w:val="left"/>
      <w:lvlText w:val="%1."/>
      <w:numFmt w:val="decimal"/>
      <w:start w:val="2"/>
    </w:lvl>
  </w:abstractNum>
  <w:abstractNum w:abstractNumId="145">
    <w:nsid w:val="4BA9831A"/>
    <w:multiLevelType w:val="hybridMultilevel"/>
    <w:lvl w:ilvl="0">
      <w:lvlJc w:val="left"/>
      <w:lvlText w:val="%1."/>
      <w:numFmt w:val="decimal"/>
      <w:start w:val="2"/>
    </w:lvl>
  </w:abstractNum>
  <w:abstractNum w:abstractNumId="146">
    <w:nsid w:val="6D71A2B"/>
    <w:multiLevelType w:val="hybridMultilevel"/>
    <w:lvl w:ilvl="0">
      <w:lvlJc w:val="left"/>
      <w:lvlText w:val="%1."/>
      <w:numFmt w:val="decimal"/>
      <w:start w:val="2"/>
    </w:lvl>
  </w:abstractNum>
  <w:abstractNum w:abstractNumId="147">
    <w:nsid w:val="CFC7321"/>
    <w:multiLevelType w:val="hybridMultilevel"/>
    <w:lvl w:ilvl="0">
      <w:lvlJc w:val="left"/>
      <w:lvlText w:val="%1)"/>
      <w:numFmt w:val="lowerRoman"/>
      <w:start w:val="3"/>
    </w:lvl>
  </w:abstractNum>
  <w:abstractNum w:abstractNumId="148">
    <w:nsid w:val="1421971B"/>
    <w:multiLevelType w:val="hybridMultilevel"/>
    <w:lvl w:ilvl="0">
      <w:lvlJc w:val="left"/>
      <w:lvlText w:val="%1."/>
      <w:numFmt w:val="decimal"/>
      <w:start w:val="2"/>
    </w:lvl>
  </w:abstractNum>
  <w:abstractNum w:abstractNumId="149">
    <w:nsid w:val="1F404301"/>
    <w:multiLevelType w:val="hybridMultilevel"/>
    <w:lvl w:ilvl="0">
      <w:lvlJc w:val="left"/>
      <w:lvlText w:val="%1."/>
      <w:numFmt w:val="decimal"/>
      <w:start w:val="2"/>
    </w:lvl>
  </w:abstractNum>
  <w:abstractNum w:abstractNumId="150">
    <w:nsid w:val="116E0907"/>
    <w:multiLevelType w:val="hybridMultilevel"/>
    <w:lvl w:ilvl="0">
      <w:lvlJc w:val="left"/>
      <w:lvlText w:val="(%1)"/>
      <w:numFmt w:val="lowerLetter"/>
      <w:start w:val="20"/>
    </w:lvl>
  </w:abstractNum>
  <w:abstractNum w:abstractNumId="151">
    <w:nsid w:val="4B683D0D"/>
    <w:multiLevelType w:val="hybridMultilevel"/>
    <w:lvl w:ilvl="0">
      <w:lvlJc w:val="left"/>
      <w:lvlText w:val="%1."/>
      <w:numFmt w:val="decimal"/>
      <w:start w:val="2"/>
    </w:lvl>
  </w:abstractNum>
  <w:abstractNum w:abstractNumId="152">
    <w:nsid w:val="76E41D8"/>
    <w:multiLevelType w:val="hybridMultilevel"/>
    <w:lvl w:ilvl="0">
      <w:lvlJc w:val="left"/>
      <w:lvlText w:val="%1."/>
      <w:numFmt w:val="decimal"/>
      <w:start w:val="2"/>
    </w:lvl>
  </w:abstractNum>
  <w:abstractNum w:abstractNumId="153">
    <w:nsid w:val="71DCE0FD"/>
    <w:multiLevelType w:val="hybridMultilevel"/>
    <w:lvl w:ilvl="0">
      <w:lvlJc w:val="left"/>
      <w:lvlText w:val="%1."/>
      <w:numFmt w:val="decimal"/>
      <w:start w:val="2"/>
    </w:lvl>
  </w:abstractNum>
  <w:abstractNum w:abstractNumId="154">
    <w:nsid w:val="7906328B"/>
    <w:multiLevelType w:val="hybridMultilevel"/>
    <w:lvl w:ilvl="0">
      <w:lvlJc w:val="left"/>
      <w:lvlText w:val="%1."/>
      <w:numFmt w:val="decimal"/>
      <w:start w:val="2"/>
    </w:lvl>
  </w:abstractNum>
  <w:abstractNum w:abstractNumId="155">
    <w:nsid w:val="72BBC16"/>
    <w:multiLevelType w:val="hybridMultilevel"/>
    <w:lvl w:ilvl="0">
      <w:lvlJc w:val="left"/>
      <w:lvlText w:val="%1."/>
      <w:numFmt w:val="decimal"/>
      <w:start w:val="2"/>
    </w:lvl>
  </w:abstractNum>
  <w:abstractNum w:abstractNumId="156">
    <w:nsid w:val="766D98C2"/>
    <w:multiLevelType w:val="hybridMultilevel"/>
    <w:lvl w:ilvl="0">
      <w:lvlJc w:val="left"/>
      <w:lvlText w:val="(%1)"/>
      <w:numFmt w:val="decimal"/>
      <w:start w:val="3"/>
    </w:lvl>
  </w:abstractNum>
  <w:abstractNum w:abstractNumId="157">
    <w:nsid w:val="3C09D4A1"/>
    <w:multiLevelType w:val="hybridMultilevel"/>
    <w:lvl w:ilvl="0">
      <w:lvlJc w:val="left"/>
      <w:lvlText w:val="(%1)"/>
      <w:numFmt w:val="decimal"/>
      <w:start w:val="2"/>
    </w:lvl>
  </w:abstractNum>
  <w:abstractNum w:abstractNumId="158">
    <w:nsid w:val="20E45CA4"/>
    <w:multiLevelType w:val="hybridMultilevel"/>
    <w:lvl w:ilvl="0">
      <w:lvlJc w:val="left"/>
      <w:lvlText w:val="%1."/>
      <w:numFmt w:val="decimal"/>
      <w:start w:val="3"/>
    </w:lvl>
  </w:abstractNum>
  <w:abstractNum w:abstractNumId="159">
    <w:nsid w:val="4B232EE3"/>
    <w:multiLevelType w:val="hybridMultilevel"/>
    <w:lvl w:ilvl="0">
      <w:lvlJc w:val="left"/>
      <w:lvlText w:val="\emdash "/>
      <w:numFmt w:val="bullet"/>
      <w:start w:val="1"/>
    </w:lvl>
  </w:abstractNum>
  <w:abstractNum w:abstractNumId="160">
    <w:nsid w:val="159C74CF"/>
    <w:multiLevelType w:val="hybridMultilevel"/>
    <w:lvl w:ilvl="0">
      <w:lvlJc w:val="left"/>
      <w:lvlText w:val="​"/>
      <w:numFmt w:val="bullet"/>
      <w:start w:val="1"/>
    </w:lvl>
  </w:abstractNum>
  <w:abstractNum w:abstractNumId="161">
    <w:nsid w:val="4AD3AFD2"/>
    <w:multiLevelType w:val="hybridMultilevel"/>
    <w:lvl w:ilvl="0">
      <w:lvlJc w:val="left"/>
      <w:lvlText w:val="(%1)"/>
      <w:numFmt w:val="decimal"/>
      <w:start w:val="1"/>
    </w:lvl>
  </w:abstractNum>
  <w:abstractNum w:abstractNumId="162">
    <w:nsid w:val="3CF93092"/>
    <w:multiLevelType w:val="hybridMultilevel"/>
    <w:lvl w:ilvl="0">
      <w:lvlJc w:val="left"/>
      <w:lvlText w:val="%1."/>
      <w:numFmt w:val="decimal"/>
      <w:start w:val="3"/>
    </w:lvl>
  </w:abstractNum>
  <w:abstractNum w:abstractNumId="163">
    <w:nsid w:val="6863E8D2"/>
    <w:multiLevelType w:val="hybridMultilevel"/>
    <w:lvl w:ilvl="0">
      <w:lvlJc w:val="left"/>
      <w:lvlText w:val="(%1)"/>
      <w:numFmt w:val="decimal"/>
      <w:start w:val="2"/>
    </w:lvl>
  </w:abstractNum>
  <w:abstractNum w:abstractNumId="164">
    <w:nsid w:val="76896198"/>
    <w:multiLevelType w:val="hybridMultilevel"/>
    <w:lvl w:ilvl="0">
      <w:lvlJc w:val="left"/>
      <w:lvlText w:val="%1."/>
      <w:numFmt w:val="decimal"/>
      <w:start w:val="4"/>
    </w:lvl>
  </w:abstractNum>
  <w:abstractNum w:abstractNumId="165">
    <w:nsid w:val="4365174B"/>
    <w:multiLevelType w:val="hybridMultilevel"/>
    <w:lvl w:ilvl="0">
      <w:lvlJc w:val="left"/>
      <w:lvlText w:val="*"/>
      <w:numFmt w:val="bullet"/>
      <w:start w:val="1"/>
    </w:lvl>
  </w:abstractNum>
  <w:abstractNum w:abstractNumId="166">
    <w:nsid w:val="4A872C35"/>
    <w:multiLevelType w:val="hybridMultilevel"/>
    <w:lvl w:ilvl="0">
      <w:lvlJc w:val="left"/>
      <w:lvlText w:val="%1."/>
      <w:numFmt w:val="decimal"/>
      <w:start w:val="5"/>
    </w:lvl>
  </w:abstractNum>
  <w:abstractNum w:abstractNumId="167">
    <w:nsid w:val="5D5CE761"/>
    <w:multiLevelType w:val="hybridMultilevel"/>
    <w:lvl w:ilvl="0">
      <w:lvlJc w:val="left"/>
      <w:lvlText w:val="(%1)"/>
      <w:numFmt w:val="decimal"/>
      <w:start w:val="1"/>
    </w:lvl>
  </w:abstractNum>
  <w:abstractNum w:abstractNumId="168">
    <w:nsid w:val="1CD484D5"/>
    <w:multiLevelType w:val="hybridMultilevel"/>
    <w:lvl w:ilvl="0">
      <w:lvlJc w:val="left"/>
      <w:lvlText w:val="%1."/>
      <w:numFmt w:val="decimal"/>
      <w:start w:val="6"/>
    </w:lvl>
  </w:abstractNum>
  <w:abstractNum w:abstractNumId="169">
    <w:nsid w:val="21D06255"/>
    <w:multiLevelType w:val="hybridMultilevel"/>
    <w:lvl w:ilvl="0">
      <w:lvlJc w:val="left"/>
      <w:lvlText w:val="%1."/>
      <w:numFmt w:val="decimal"/>
      <w:start w:val="7"/>
    </w:lvl>
  </w:abstractNum>
  <w:abstractNum w:abstractNumId="170">
    <w:nsid w:val="51194ED1"/>
    <w:multiLevelType w:val="hybridMultilevel"/>
    <w:lvl w:ilvl="0">
      <w:lvlJc w:val="left"/>
      <w:lvlText w:val="%1."/>
      <w:numFmt w:val="decimal"/>
      <w:start w:val="8"/>
    </w:lvl>
  </w:abstractNum>
  <w:abstractNum w:abstractNumId="171">
    <w:nsid w:val="44E2ED6C"/>
    <w:multiLevelType w:val="hybridMultilevel"/>
    <w:lvl w:ilvl="0">
      <w:lvlJc w:val="left"/>
      <w:lvlText w:val="*"/>
      <w:numFmt w:val="bullet"/>
      <w:start w:val="1"/>
    </w:lvl>
  </w:abstractNum>
  <w:abstractNum w:abstractNumId="172">
    <w:nsid w:val="2219B33"/>
    <w:multiLevelType w:val="hybridMultilevel"/>
    <w:lvl w:ilvl="0">
      <w:lvlJc w:val="left"/>
      <w:lvlText w:val="%1."/>
      <w:numFmt w:val="decimal"/>
      <w:start w:val="8"/>
    </w:lvl>
  </w:abstractNum>
  <w:abstractNum w:abstractNumId="173">
    <w:nsid w:val="773BFBDD"/>
    <w:multiLevelType w:val="hybridMultilevel"/>
    <w:lvl w:ilvl="0">
      <w:lvlJc w:val="left"/>
      <w:lvlText w:val="%1."/>
      <w:numFmt w:val="decimal"/>
      <w:start w:val="9"/>
    </w:lvl>
  </w:abstractNum>
  <w:abstractNum w:abstractNumId="174">
    <w:nsid w:val="2C7C62C2"/>
    <w:multiLevelType w:val="hybridMultilevel"/>
    <w:lvl w:ilvl="0">
      <w:lvlJc w:val="left"/>
      <w:lvlText w:val="%1."/>
      <w:numFmt w:val="decimal"/>
      <w:start w:val="10"/>
    </w:lvl>
  </w:abstractNum>
  <w:abstractNum w:abstractNumId="175">
    <w:nsid w:val="1A54D7BC"/>
    <w:multiLevelType w:val="hybridMultilevel"/>
    <w:lvl w:ilvl="0">
      <w:lvlJc w:val="left"/>
      <w:lvlText w:val="(%1)"/>
      <w:numFmt w:val="lowerRoman"/>
      <w:start w:val="1"/>
    </w:lvl>
  </w:abstractNum>
  <w:abstractNum w:abstractNumId="176">
    <w:nsid w:val="42E57EF7"/>
    <w:multiLevelType w:val="hybridMultilevel"/>
    <w:lvl w:ilvl="0">
      <w:lvlJc w:val="left"/>
      <w:lvlText w:val="(%1)"/>
      <w:numFmt w:val="lowerRoman"/>
      <w:start w:val="8"/>
    </w:lvl>
  </w:abstractNum>
  <w:abstractNum w:abstractNumId="177">
    <w:nsid w:val="33537CED"/>
    <w:multiLevelType w:val="hybridMultilevel"/>
    <w:lvl w:ilvl="0">
      <w:lvlJc w:val="left"/>
      <w:lvlText w:val="%1."/>
      <w:numFmt w:val="decimal"/>
      <w:start w:val="11"/>
    </w:lvl>
  </w:abstractNum>
  <w:abstractNum w:abstractNumId="178">
    <w:nsid w:val="27514ADE"/>
    <w:multiLevelType w:val="hybridMultilevel"/>
    <w:lvl w:ilvl="0">
      <w:lvlJc w:val="left"/>
      <w:lvlText w:val="(%1)"/>
      <w:numFmt w:val="decimal"/>
      <w:start w:val="1"/>
    </w:lvl>
  </w:abstractNum>
  <w:abstractNum w:abstractNumId="179">
    <w:nsid w:val="57071613"/>
    <w:multiLevelType w:val="hybridMultilevel"/>
    <w:lvl w:ilvl="0">
      <w:lvlJc w:val="left"/>
      <w:lvlText w:val="​"/>
      <w:numFmt w:val="bullet"/>
      <w:start w:val="1"/>
    </w:lvl>
  </w:abstractNum>
  <w:abstractNum w:abstractNumId="180">
    <w:nsid w:val="5293BFEF"/>
    <w:multiLevelType w:val="hybridMultilevel"/>
    <w:lvl w:ilvl="0">
      <w:lvlJc w:val="left"/>
      <w:lvlText w:val="(%1)"/>
      <w:numFmt w:val="lowerRoman"/>
      <w:start w:val="1"/>
    </w:lvl>
  </w:abstractNum>
  <w:abstractNum w:abstractNumId="181">
    <w:nsid w:val="38BF53E5"/>
    <w:multiLevelType w:val="hybridMultilevel"/>
    <w:lvl w:ilvl="0">
      <w:lvlJc w:val="left"/>
      <w:lvlText w:val="*"/>
      <w:numFmt w:val="bullet"/>
      <w:start w:val="1"/>
    </w:lvl>
  </w:abstractNum>
  <w:abstractNum w:abstractNumId="182">
    <w:nsid w:val="226F5320"/>
    <w:multiLevelType w:val="hybridMultilevel"/>
    <w:lvl w:ilvl="0">
      <w:lvlJc w:val="left"/>
      <w:lvlText w:val="(%1)"/>
      <w:numFmt w:val="lowerRoman"/>
      <w:start w:val="1"/>
    </w:lvl>
  </w:abstractNum>
  <w:abstractNum w:abstractNumId="183">
    <w:nsid w:val="5A0201C7"/>
    <w:multiLevelType w:val="hybridMultilevel"/>
    <w:lvl w:ilvl="0">
      <w:lvlJc w:val="left"/>
      <w:lvlText w:val="%1)"/>
      <w:numFmt w:val="lowerLetter"/>
      <w:start w:val="1"/>
    </w:lvl>
  </w:abstractNum>
  <w:abstractNum w:abstractNumId="184">
    <w:nsid w:val="2A9C34E2"/>
    <w:multiLevelType w:val="hybridMultilevel"/>
    <w:lvl w:ilvl="0">
      <w:lvlJc w:val="left"/>
      <w:lvlText w:val="%1)"/>
      <w:numFmt w:val="lowerLetter"/>
      <w:start w:val="1"/>
    </w:lvl>
  </w:abstractNum>
  <w:abstractNum w:abstractNumId="185">
    <w:nsid w:val="1B7585AB"/>
    <w:multiLevelType w:val="hybridMultilevel"/>
    <w:lvl w:ilvl="0">
      <w:lvlJc w:val="left"/>
      <w:lvlText w:val="%1."/>
      <w:numFmt w:val="decimal"/>
      <w:start w:val="15"/>
    </w:lvl>
    <w:lvl w:ilvl="1">
      <w:lvlJc w:val="left"/>
      <w:lvlText w:val="%2)"/>
      <w:numFmt w:val="lowerLetter"/>
      <w:start w:val="5"/>
    </w:lvl>
  </w:abstractNum>
  <w:abstractNum w:abstractNumId="186">
    <w:nsid w:val="612DBDDD"/>
    <w:multiLevelType w:val="hybridMultilevel"/>
    <w:lvl w:ilvl="0">
      <w:lvlJc w:val="left"/>
      <w:lvlText w:val="*"/>
      <w:numFmt w:val="bullet"/>
      <w:start w:val="1"/>
    </w:lvl>
  </w:abstractNum>
  <w:abstractNum w:abstractNumId="187">
    <w:nsid w:val="2109CDA4"/>
    <w:multiLevelType w:val="hybridMultilevel"/>
    <w:lvl w:ilvl="0">
      <w:lvlJc w:val="left"/>
      <w:lvlText w:val="*"/>
      <w:numFmt w:val="bullet"/>
      <w:start w:val="1"/>
    </w:lvl>
  </w:abstractNum>
  <w:abstractNum w:abstractNumId="188">
    <w:nsid w:val="577F5A4D"/>
    <w:multiLevelType w:val="hybridMultilevel"/>
    <w:lvl w:ilvl="0">
      <w:lvlJc w:val="left"/>
      <w:lvlText w:val="*"/>
      <w:numFmt w:val="bullet"/>
      <w:start w:val="1"/>
    </w:lvl>
  </w:abstractNum>
  <w:abstractNum w:abstractNumId="189">
    <w:nsid w:val="2121A81"/>
    <w:multiLevelType w:val="hybridMultilevel"/>
    <w:lvl w:ilvl="0">
      <w:lvlJc w:val="left"/>
      <w:lvlText w:val="(%1)"/>
      <w:numFmt w:val="decimal"/>
      <w:start w:val="1"/>
    </w:lvl>
  </w:abstractNum>
  <w:abstractNum w:abstractNumId="190">
    <w:nsid w:val="6C2CFC88"/>
    <w:multiLevelType w:val="hybridMultilevel"/>
    <w:lvl w:ilvl="0">
      <w:lvlJc w:val="left"/>
      <w:lvlText w:val="(%1)"/>
      <w:numFmt w:val="decimal"/>
      <w:start w:val="1"/>
    </w:lvl>
  </w:abstractNum>
  <w:abstractNum w:abstractNumId="191">
    <w:nsid w:val="6D1BCF1C"/>
    <w:multiLevelType w:val="hybridMultilevel"/>
    <w:lvl w:ilvl="0">
      <w:lvlJc w:val="left"/>
      <w:lvlText w:val="(%1)"/>
      <w:numFmt w:val="decimal"/>
      <w:start w:val="1"/>
    </w:lvl>
  </w:abstractNum>
  <w:abstractNum w:abstractNumId="192">
    <w:nsid w:val="4CE5CA53"/>
    <w:multiLevelType w:val="hybridMultilevel"/>
    <w:lvl w:ilvl="0">
      <w:lvlJc w:val="left"/>
      <w:lvlText w:val="​"/>
      <w:numFmt w:val="bullet"/>
      <w:start w:val="1"/>
    </w:lvl>
  </w:abstractNum>
  <w:abstractNum w:abstractNumId="193">
    <w:nsid w:val="29262D1A"/>
    <w:multiLevelType w:val="hybridMultilevel"/>
    <w:lvl w:ilvl="0">
      <w:lvlJc w:val="left"/>
      <w:lvlText w:val="(%1)"/>
      <w:numFmt w:val="decimal"/>
      <w:start w:val="1"/>
    </w:lvl>
  </w:abstractNum>
  <w:abstractNum w:abstractNumId="194">
    <w:nsid w:val="557FB7EE"/>
    <w:multiLevelType w:val="hybridMultilevel"/>
    <w:lvl w:ilvl="0">
      <w:lvlJc w:val="left"/>
      <w:lvlText w:val="%1."/>
      <w:numFmt w:val="decimal"/>
      <w:start w:val="1"/>
    </w:lvl>
  </w:abstractNum>
  <w:abstractNum w:abstractNumId="195">
    <w:nsid w:val="436F2BEB"/>
    <w:multiLevelType w:val="hybridMultilevel"/>
    <w:lvl w:ilvl="0">
      <w:lvlJc w:val="left"/>
      <w:lvlText w:val="%1."/>
      <w:numFmt w:val="decimal"/>
      <w:start w:val="2"/>
    </w:lvl>
  </w:abstractNum>
  <w:abstractNum w:abstractNumId="196">
    <w:nsid w:val="6C8B4466"/>
    <w:multiLevelType w:val="hybridMultilevel"/>
    <w:lvl w:ilvl="0">
      <w:lvlJc w:val="left"/>
      <w:lvlText w:val="%1."/>
      <w:numFmt w:val="decimal"/>
      <w:start w:val="2"/>
    </w:lvl>
  </w:abstractNum>
  <w:abstractNum w:abstractNumId="197">
    <w:nsid w:val="2006E424"/>
    <w:multiLevelType w:val="hybridMultilevel"/>
    <w:lvl w:ilvl="0">
      <w:lvlJc w:val="left"/>
      <w:lvlText w:val="(%1)"/>
      <w:numFmt w:val="lowerLetter"/>
      <w:start w:val="6"/>
    </w:lvl>
  </w:abstractNum>
  <w:abstractNum w:abstractNumId="198">
    <w:nsid w:val="20CC134C"/>
    <w:multiLevelType w:val="hybridMultilevel"/>
    <w:lvl w:ilvl="0">
      <w:lvlJc w:val="left"/>
      <w:lvlText w:val="%1."/>
      <w:numFmt w:val="decimal"/>
      <w:start w:val="2"/>
    </w:lvl>
  </w:abstractNum>
  <w:abstractNum w:abstractNumId="199">
    <w:nsid w:val="95FC93B"/>
    <w:multiLevelType w:val="hybridMultilevel"/>
    <w:lvl w:ilvl="0">
      <w:lvlJc w:val="left"/>
      <w:lvlText w:val="%1)"/>
      <w:numFmt w:val="decimal"/>
      <w:start w:val="3"/>
    </w:lvl>
  </w:abstractNum>
  <w:abstractNum w:abstractNumId="200">
    <w:nsid w:val="41D74679"/>
    <w:multiLevelType w:val="hybridMultilevel"/>
    <w:lvl w:ilvl="0">
      <w:lvlJc w:val="left"/>
      <w:lvlText w:val="%1)"/>
      <w:numFmt w:val="decimal"/>
      <w:start w:val="2"/>
    </w:lvl>
  </w:abstractNum>
  <w:abstractNum w:abstractNumId="201">
    <w:nsid w:val="71E5621E"/>
    <w:multiLevelType w:val="hybridMultilevel"/>
    <w:lvl w:ilvl="0">
      <w:lvlJc w:val="left"/>
      <w:lvlText w:val="%1."/>
      <w:numFmt w:val="decimal"/>
      <w:start w:val="2"/>
    </w:lvl>
  </w:abstractNum>
  <w:abstractNum w:abstractNumId="202">
    <w:nsid w:val="4E42B6A8"/>
    <w:multiLevelType w:val="hybridMultilevel"/>
    <w:lvl w:ilvl="0">
      <w:lvlJc w:val="left"/>
      <w:lvlText w:val="%1."/>
      <w:numFmt w:val="decimal"/>
      <w:start w:val="2"/>
    </w:lvl>
  </w:abstractNum>
  <w:abstractNum w:abstractNumId="203">
    <w:nsid w:val="43F8E1AC"/>
    <w:multiLevelType w:val="hybridMultilevel"/>
    <w:lvl w:ilvl="0">
      <w:lvlJc w:val="left"/>
      <w:lvlText w:val="•"/>
      <w:numFmt w:val="bullet"/>
      <w:start w:val="1"/>
    </w:lvl>
  </w:abstractNum>
  <w:abstractNum w:abstractNumId="204">
    <w:nsid w:val="69215DFB"/>
    <w:multiLevelType w:val="hybridMultilevel"/>
    <w:lvl w:ilvl="0">
      <w:lvlJc w:val="left"/>
      <w:lvlText w:val="%1."/>
      <w:numFmt w:val="decimal"/>
      <w:start w:val="2"/>
    </w:lvl>
  </w:abstractNum>
  <w:abstractNum w:abstractNumId="205">
    <w:nsid w:val="7ABF196A"/>
    <w:multiLevelType w:val="hybridMultilevel"/>
    <w:lvl w:ilvl="0">
      <w:lvlJc w:val="left"/>
      <w:lvlText w:val="(%1)"/>
      <w:numFmt w:val="lowerRoman"/>
      <w:start w:val="1"/>
    </w:lvl>
  </w:abstractNum>
  <w:abstractNum w:abstractNumId="206">
    <w:nsid w:val="5E4DB968"/>
    <w:multiLevelType w:val="hybridMultilevel"/>
    <w:lvl w:ilvl="0">
      <w:lvlJc w:val="left"/>
      <w:lvlText w:val="(%1)"/>
      <w:numFmt w:val="lowerLetter"/>
      <w:start w:val="10"/>
    </w:lvl>
  </w:abstractNum>
  <w:abstractNum w:abstractNumId="207">
    <w:nsid w:val="2C06DCF3"/>
    <w:multiLevelType w:val="hybridMultilevel"/>
    <w:lvl w:ilvl="0">
      <w:lvlJc w:val="left"/>
      <w:lvlText w:val="(%1)"/>
      <w:numFmt w:val="lowerLetter"/>
      <w:start w:val="12"/>
    </w:lvl>
  </w:abstractNum>
  <w:abstractNum w:abstractNumId="208">
    <w:nsid w:val="2E129658"/>
    <w:multiLevelType w:val="hybridMultilevel"/>
    <w:lvl w:ilvl="0">
      <w:lvlJc w:val="left"/>
      <w:lvlText w:val="%1."/>
      <w:numFmt w:val="decimal"/>
      <w:start w:val="2"/>
    </w:lvl>
  </w:abstractNum>
  <w:abstractNum w:abstractNumId="209">
    <w:nsid w:val="59F0446"/>
    <w:multiLevelType w:val="hybridMultilevel"/>
    <w:lvl w:ilvl="0">
      <w:lvlJc w:val="left"/>
      <w:lvlText w:val="(%1)"/>
      <w:numFmt w:val="decimal"/>
      <w:start w:val="3"/>
    </w:lvl>
  </w:abstractNum>
  <w:abstractNum w:abstractNumId="210">
    <w:nsid w:val="30DF306"/>
    <w:multiLevelType w:val="hybridMultilevel"/>
    <w:lvl w:ilvl="0">
      <w:lvlJc w:val="left"/>
      <w:lvlText w:val="%1."/>
      <w:numFmt w:val="decimal"/>
      <w:start w:val="2"/>
    </w:lvl>
  </w:abstractNum>
  <w:abstractNum w:abstractNumId="211">
    <w:nsid w:val="A65647"/>
    <w:multiLevelType w:val="hybridMultilevel"/>
    <w:lvl w:ilvl="0">
      <w:lvlJc w:val="left"/>
      <w:lvlText w:val="%1."/>
      <w:numFmt w:val="decimal"/>
      <w:start w:val="2"/>
    </w:lvl>
  </w:abstractNum>
  <w:abstractNum w:abstractNumId="212">
    <w:nsid w:val="3E5E582B"/>
    <w:multiLevelType w:val="hybridMultilevel"/>
    <w:lvl w:ilvl="0">
      <w:lvlJc w:val="left"/>
      <w:lvlText w:val="%1."/>
      <w:numFmt w:val="decimal"/>
      <w:start w:val="3"/>
    </w:lvl>
  </w:abstractNum>
  <w:abstractNum w:abstractNumId="213">
    <w:nsid w:val="257D4626"/>
    <w:multiLevelType w:val="hybridMultilevel"/>
    <w:lvl w:ilvl="0">
      <w:lvlJc w:val="left"/>
      <w:lvlText w:val="%1."/>
      <w:numFmt w:val="decimal"/>
      <w:start w:val="4"/>
    </w:lvl>
  </w:abstractNum>
  <w:abstractNum w:abstractNumId="214">
    <w:nsid w:val="5AA8580E"/>
    <w:multiLevelType w:val="hybridMultilevel"/>
    <w:lvl w:ilvl="0">
      <w:lvlJc w:val="left"/>
      <w:lvlText w:val="%1."/>
      <w:numFmt w:val="decimal"/>
      <w:start w:val="5"/>
    </w:lvl>
  </w:abstractNum>
  <w:abstractNum w:abstractNumId="215">
    <w:nsid w:val="68FA8D0D"/>
    <w:multiLevelType w:val="hybridMultilevel"/>
    <w:lvl w:ilvl="0">
      <w:lvlJc w:val="left"/>
      <w:lvlText w:val="%1."/>
      <w:numFmt w:val="decimal"/>
      <w:start w:val="6"/>
    </w:lvl>
  </w:abstractNum>
  <w:abstractNum w:abstractNumId="216">
    <w:nsid w:val="40F2CBD2"/>
    <w:multiLevelType w:val="hybridMultilevel"/>
    <w:lvl w:ilvl="0">
      <w:lvlJc w:val="left"/>
      <w:lvlText w:val="%1."/>
      <w:numFmt w:val="decimal"/>
      <w:start w:val="7"/>
    </w:lvl>
  </w:abstractNum>
  <w:abstractNum w:abstractNumId="217">
    <w:nsid w:val="3BD615EB"/>
    <w:multiLevelType w:val="hybridMultilevel"/>
    <w:lvl w:ilvl="0">
      <w:lvlJc w:val="left"/>
      <w:lvlText w:val="(%1)"/>
      <w:numFmt w:val="decimal"/>
      <w:start w:val="1"/>
    </w:lvl>
  </w:abstractNum>
  <w:abstractNum w:abstractNumId="218">
    <w:nsid w:val="A045AB2"/>
    <w:multiLevelType w:val="hybridMultilevel"/>
    <w:lvl w:ilvl="0">
      <w:lvlJc w:val="left"/>
      <w:lvlText w:val="%1."/>
      <w:numFmt w:val="decimal"/>
      <w:start w:val="8"/>
    </w:lvl>
  </w:abstractNum>
  <w:abstractNum w:abstractNumId="219">
    <w:nsid w:val="1872261F"/>
    <w:multiLevelType w:val="hybridMultilevel"/>
    <w:lvl w:ilvl="0">
      <w:lvlJc w:val="left"/>
      <w:lvlText w:val="%1."/>
      <w:numFmt w:val="decimal"/>
      <w:start w:val="9"/>
    </w:lvl>
  </w:abstractNum>
  <w:abstractNum w:abstractNumId="220">
    <w:nsid w:val="3DE8306C"/>
    <w:multiLevelType w:val="hybridMultilevel"/>
    <w:lvl w:ilvl="0">
      <w:lvlJc w:val="left"/>
      <w:lvlText w:val="*"/>
      <w:numFmt w:val="bullet"/>
      <w:start w:val="1"/>
    </w:lvl>
  </w:abstractNum>
  <w:abstractNum w:abstractNumId="221">
    <w:nsid w:val="7631573A"/>
    <w:multiLevelType w:val="hybridMultilevel"/>
    <w:lvl w:ilvl="0">
      <w:lvlJc w:val="left"/>
      <w:lvlText w:val="%1."/>
      <w:numFmt w:val="decimal"/>
      <w:start w:val="9"/>
    </w:lvl>
  </w:abstractNum>
  <w:abstractNum w:abstractNumId="222">
    <w:nsid w:val="58DF53B"/>
    <w:multiLevelType w:val="hybridMultilevel"/>
    <w:lvl w:ilvl="0">
      <w:lvlJc w:val="left"/>
      <w:lvlText w:val="*"/>
      <w:numFmt w:val="bullet"/>
      <w:start w:val="1"/>
    </w:lvl>
  </w:abstractNum>
  <w:abstractNum w:abstractNumId="223">
    <w:nsid w:val="ACDFAC0"/>
    <w:multiLevelType w:val="hybridMultilevel"/>
    <w:lvl w:ilvl="0">
      <w:lvlJc w:val="left"/>
      <w:lvlText w:val="*"/>
      <w:numFmt w:val="bullet"/>
      <w:start w:val="1"/>
    </w:lvl>
  </w:abstractNum>
  <w:abstractNum w:abstractNumId="224">
    <w:nsid w:val="1F578454"/>
    <w:multiLevelType w:val="hybridMultilevel"/>
    <w:lvl w:ilvl="0">
      <w:lvlJc w:val="left"/>
      <w:lvlText w:val="(%1)"/>
      <w:numFmt w:val="lowerLetter"/>
      <w:start w:val="1"/>
    </w:lvl>
  </w:abstractNum>
  <w:abstractNum w:abstractNumId="225">
    <w:nsid w:val="5B0DAD2A"/>
    <w:multiLevelType w:val="hybridMultilevel"/>
    <w:lvl w:ilvl="0">
      <w:lvlJc w:val="left"/>
      <w:lvlText w:val="•"/>
      <w:numFmt w:val="bullet"/>
      <w:start w:val="1"/>
    </w:lvl>
  </w:abstractNum>
  <w:abstractNum w:abstractNumId="226">
    <w:nsid w:val="4E3D26AB"/>
    <w:multiLevelType w:val="hybridMultilevel"/>
    <w:lvl w:ilvl="0">
      <w:lvlJc w:val="left"/>
      <w:lvlText w:val="•"/>
      <w:numFmt w:val="bullet"/>
      <w:start w:val="1"/>
    </w:lvl>
    <w:lvl w:ilvl="1">
      <w:lvlJc w:val="left"/>
      <w:lvlText w:val="•"/>
      <w:numFmt w:val="bullet"/>
      <w:start w:val="1"/>
    </w:lvl>
  </w:abstractNum>
  <w:abstractNum w:abstractNumId="227">
    <w:nsid w:val="BE2C8BA"/>
    <w:multiLevelType w:val="hybridMultilevel"/>
    <w:lvl w:ilvl="0">
      <w:lvlJc w:val="left"/>
      <w:lvlText w:val="​"/>
      <w:numFmt w:val="bullet"/>
      <w:start w:val="1"/>
    </w:lvl>
  </w:abstractNum>
  <w:abstractNum w:abstractNumId="228">
    <w:nsid w:val="7B14914E"/>
    <w:multiLevelType w:val="hybridMultilevel"/>
    <w:lvl w:ilvl="0">
      <w:lvlJc w:val="left"/>
      <w:lvlText w:val="*"/>
      <w:numFmt w:val="bullet"/>
      <w:start w:val="1"/>
    </w:lvl>
  </w:abstractNum>
  <w:abstractNum w:abstractNumId="229">
    <w:nsid w:val="6F0939F8"/>
    <w:multiLevelType w:val="hybridMultilevel"/>
    <w:lvl w:ilvl="0">
      <w:lvlJc w:val="left"/>
      <w:lvlText w:val="†"/>
      <w:numFmt w:val="bullet"/>
      <w:start w:val="1"/>
    </w:lvl>
  </w:abstractNum>
  <w:abstractNum w:abstractNumId="230">
    <w:nsid w:val="154291F6"/>
    <w:multiLevelType w:val="hybridMultilevel"/>
    <w:lvl w:ilvl="0">
      <w:lvlJc w:val="left"/>
      <w:lvlText w:val="%1."/>
      <w:numFmt w:val="decimal"/>
      <w:start w:val="1"/>
    </w:lvl>
  </w:abstractNum>
  <w:abstractNum w:abstractNumId="231">
    <w:nsid w:val="3CEBD7C7"/>
    <w:multiLevelType w:val="hybridMultilevel"/>
    <w:lvl w:ilvl="0">
      <w:lvlJc w:val="left"/>
      <w:lvlText w:val="%1."/>
      <w:numFmt w:val="decimal"/>
      <w:start w:val="1"/>
    </w:lvl>
  </w:abstractNum>
  <w:abstractNum w:abstractNumId="232">
    <w:nsid w:val="60EE9C16"/>
    <w:multiLevelType w:val="hybridMultilevel"/>
    <w:lvl w:ilvl="0">
      <w:lvlJc w:val="left"/>
      <w:lvlText w:val="(%1)"/>
      <w:numFmt w:val="lowerLetter"/>
      <w:start w:val="5"/>
    </w:lvl>
  </w:abstractNum>
  <w:abstractNum w:abstractNumId="233">
    <w:nsid w:val="6385489E"/>
    <w:multiLevelType w:val="hybridMultilevel"/>
    <w:lvl w:ilvl="0">
      <w:lvlJc w:val="left"/>
      <w:lvlText w:val="(%1)"/>
      <w:numFmt w:val="lowerLetter"/>
      <w:start w:val="1"/>
    </w:lvl>
  </w:abstractNum>
  <w:abstractNum w:abstractNumId="234">
    <w:nsid w:val="E4B973"/>
    <w:multiLevelType w:val="hybridMultilevel"/>
    <w:lvl w:ilvl="0">
      <w:lvlJc w:val="left"/>
      <w:lvlText w:val="(%1)"/>
      <w:numFmt w:val="lowerLetter"/>
      <w:start w:val="3"/>
    </w:lvl>
  </w:abstractNum>
  <w:abstractNum w:abstractNumId="235">
    <w:nsid w:val="4A0FFA11"/>
    <w:multiLevelType w:val="hybridMultilevel"/>
    <w:lvl w:ilvl="0">
      <w:lvlJc w:val="left"/>
      <w:lvlText w:val="(%1)"/>
      <w:numFmt w:val="lowerLetter"/>
      <w:start w:val="2"/>
    </w:lvl>
  </w:abstractNum>
  <w:abstractNum w:abstractNumId="236">
    <w:nsid w:val="5E446208"/>
    <w:multiLevelType w:val="hybridMultilevel"/>
    <w:lvl w:ilvl="0">
      <w:lvlJc w:val="left"/>
      <w:lvlText w:val="(%1)"/>
      <w:numFmt w:val="lowerLetter"/>
      <w:start w:val="8"/>
    </w:lvl>
  </w:abstractNum>
  <w:abstractNum w:abstractNumId="237">
    <w:nsid w:val="5F3272DB"/>
    <w:multiLevelType w:val="hybridMultilevel"/>
    <w:lvl w:ilvl="0">
      <w:lvlJc w:val="left"/>
      <w:lvlText w:val="(%1)"/>
      <w:numFmt w:val="lowerLetter"/>
      <w:start w:val="13"/>
    </w:lvl>
  </w:abstractNum>
  <w:abstractNum w:abstractNumId="238">
    <w:nsid w:val="7616D704"/>
    <w:multiLevelType w:val="hybridMultilevel"/>
    <w:lvl w:ilvl="0">
      <w:lvlJc w:val="left"/>
      <w:lvlText w:val="(%1)"/>
      <w:numFmt w:val="lowerLetter"/>
      <w:start w:val="3"/>
    </w:lvl>
  </w:abstractNum>
  <w:abstractNum w:abstractNumId="239">
    <w:nsid w:val="C56F860"/>
    <w:multiLevelType w:val="hybridMultilevel"/>
    <w:lvl w:ilvl="0">
      <w:lvlJc w:val="left"/>
      <w:lvlText w:val="(%1)"/>
      <w:numFmt w:val="lowerLetter"/>
      <w:start w:val="11"/>
    </w:lvl>
  </w:abstractNum>
  <w:abstractNum w:abstractNumId="240">
    <w:nsid w:val="64D17722"/>
    <w:multiLevelType w:val="hybridMultilevel"/>
    <w:lvl w:ilvl="0">
      <w:lvlJc w:val="left"/>
      <w:lvlText w:val="(%1)"/>
      <w:numFmt w:val="lowerLetter"/>
      <w:start w:val="7"/>
    </w:lvl>
  </w:abstractNum>
  <w:abstractNum w:abstractNumId="241">
    <w:nsid w:val="7924CA0A"/>
    <w:multiLevelType w:val="hybridMultilevel"/>
    <w:lvl w:ilvl="0">
      <w:lvlJc w:val="left"/>
      <w:lvlText w:val="(%1)"/>
      <w:numFmt w:val="lowerLetter"/>
      <w:start w:val="1"/>
    </w:lvl>
    <w:lvl w:ilvl="1">
      <w:lvlJc w:val="left"/>
      <w:lvlText w:val="(%2)"/>
      <w:numFmt w:val="lowerRoman"/>
      <w:start w:val="1"/>
    </w:lvl>
  </w:abstractNum>
  <w:abstractNum w:abstractNumId="242">
    <w:nsid w:val="CFD4EA7"/>
    <w:multiLevelType w:val="hybridMultilevel"/>
    <w:lvl w:ilvl="0">
      <w:lvlJc w:val="left"/>
      <w:lvlText w:val="%1"/>
      <w:numFmt w:val="lowerLetter"/>
      <w:start w:val="1"/>
    </w:lvl>
    <w:lvl w:ilvl="1">
      <w:lvlJc w:val="left"/>
      <w:lvlText w:val="(%2)"/>
      <w:numFmt w:val="lowerRoman"/>
      <w:start w:val="2"/>
    </w:lvl>
  </w:abstractNum>
  <w:abstractNum w:abstractNumId="243">
    <w:nsid w:val="232FCF4D"/>
    <w:multiLevelType w:val="hybridMultilevel"/>
    <w:lvl w:ilvl="0">
      <w:lvlJc w:val="left"/>
      <w:lvlText w:val="(%1)"/>
      <w:numFmt w:val="lowerLetter"/>
      <w:start w:val="2"/>
    </w:lvl>
    <w:lvl w:ilvl="1">
      <w:lvlJc w:val="left"/>
      <w:lvlText w:val="%2"/>
      <w:numFmt w:val="lowerRoman"/>
      <w:start w:val="1"/>
    </w:lvl>
  </w:abstractNum>
  <w:abstractNum w:abstractNumId="244">
    <w:nsid w:val="1EA21031"/>
    <w:multiLevelType w:val="hybridMultilevel"/>
    <w:lvl w:ilvl="0">
      <w:lvlJc w:val="left"/>
      <w:lvlText w:val="%1."/>
      <w:numFmt w:val="decimal"/>
      <w:start w:val="2"/>
    </w:lvl>
  </w:abstractNum>
  <w:abstractNum w:abstractNumId="245">
    <w:nsid w:val="67A5A6B5"/>
    <w:multiLevelType w:val="hybridMultilevel"/>
    <w:lvl w:ilvl="0">
      <w:lvlJc w:val="left"/>
      <w:lvlText w:val="%1."/>
      <w:numFmt w:val="decimal"/>
      <w:start w:val="3"/>
    </w:lvl>
  </w:abstractNum>
  <w:abstractNum w:abstractNumId="246">
    <w:nsid w:val="C2A5C5B"/>
    <w:multiLevelType w:val="hybridMultilevel"/>
    <w:lvl w:ilvl="0">
      <w:lvlJc w:val="left"/>
      <w:lvlText w:val="%1."/>
      <w:numFmt w:val="decimal"/>
      <w:start w:val="4"/>
    </w:lvl>
  </w:abstractNum>
  <w:abstractNum w:abstractNumId="247">
    <w:nsid w:val="5F94DC03"/>
    <w:multiLevelType w:val="hybridMultilevel"/>
    <w:lvl w:ilvl="0">
      <w:lvlJc w:val="left"/>
      <w:lvlText w:val="(%1)"/>
      <w:numFmt w:val="lowerLetter"/>
      <w:start w:val="1"/>
    </w:lvl>
  </w:abstractNum>
  <w:abstractNum w:abstractNumId="248">
    <w:nsid w:val="237BBCA0"/>
    <w:multiLevelType w:val="hybridMultilevel"/>
    <w:lvl w:ilvl="0">
      <w:lvlJc w:val="left"/>
      <w:lvlText w:val="(%1)"/>
      <w:numFmt w:val="lowerLetter"/>
      <w:start w:val="2"/>
    </w:lvl>
    <w:lvl w:ilvl="1">
      <w:lvlJc w:val="left"/>
      <w:lvlText w:val="(%2)"/>
      <w:numFmt w:val="lowerRoman"/>
      <w:start w:val="1"/>
    </w:lvl>
  </w:abstractNum>
  <w:abstractNum w:abstractNumId="249">
    <w:nsid w:val="162EB7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0">
    <w:nsid w:val="78070222"/>
    <w:multiLevelType w:val="hybridMultilevel"/>
    <w:lvl w:ilvl="0">
      <w:lvlJc w:val="left"/>
      <w:lvlText w:val="(%1)"/>
      <w:numFmt w:val="lowerLetter"/>
      <w:start w:val="1"/>
    </w:lvl>
    <w:lvl w:ilvl="1">
      <w:lvlJc w:val="left"/>
      <w:lvlText w:val="(%2)"/>
      <w:numFmt w:val="lowerRoman"/>
      <w:start w:val="1"/>
    </w:lvl>
  </w:abstractNum>
  <w:abstractNum w:abstractNumId="251">
    <w:nsid w:val="6163E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2">
    <w:nsid w:val="C600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3">
    <w:nsid w:val="7D94F75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4">
    <w:nsid w:val="6C31E7CD"/>
    <w:multiLevelType w:val="hybridMultilevel"/>
    <w:lvl w:ilvl="0">
      <w:lvlJc w:val="left"/>
      <w:lvlText w:val="(%1)"/>
      <w:numFmt w:val="lowerRoman"/>
      <w:start w:val="1"/>
    </w:lvl>
  </w:abstractNum>
  <w:abstractNum w:abstractNumId="255">
    <w:nsid w:val="2BB7929B"/>
    <w:multiLevelType w:val="hybridMultilevel"/>
    <w:lvl w:ilvl="0">
      <w:lvlJc w:val="left"/>
      <w:lvlText w:val="(%1)"/>
      <w:numFmt w:val="lowerLetter"/>
      <w:start w:val="1"/>
    </w:lvl>
  </w:abstractNum>
  <w:abstractNum w:abstractNumId="256">
    <w:nsid w:val="58A2A487"/>
    <w:multiLevelType w:val="hybridMultilevel"/>
    <w:lvl w:ilvl="0">
      <w:lvlJc w:val="left"/>
      <w:lvlText w:val="(%1)"/>
      <w:numFmt w:val="lowerRoman"/>
      <w:start w:val="2"/>
    </w:lvl>
  </w:abstractNum>
  <w:abstractNum w:abstractNumId="257">
    <w:nsid w:val="3A6F0E78"/>
    <w:multiLevelType w:val="hybridMultilevel"/>
    <w:lvl w:ilvl="0">
      <w:lvlJc w:val="left"/>
      <w:lvlText w:val="(%1)"/>
      <w:numFmt w:val="lowerLetter"/>
      <w:start w:val="1"/>
    </w:lvl>
    <w:lvl w:ilvl="1">
      <w:lvlJc w:val="left"/>
      <w:lvlText w:val="(%2)"/>
      <w:numFmt w:val="lowerRoman"/>
      <w:start w:val="1"/>
    </w:lvl>
  </w:abstractNum>
  <w:abstractNum w:abstractNumId="258">
    <w:nsid w:val="379A5B56"/>
    <w:multiLevelType w:val="hybridMultilevel"/>
    <w:lvl w:ilvl="0">
      <w:lvlJc w:val="left"/>
      <w:lvlText w:val="%1"/>
      <w:numFmt w:val="lowerLetter"/>
      <w:start w:val="1"/>
    </w:lvl>
    <w:lvl w:ilvl="1">
      <w:lvlJc w:val="left"/>
      <w:lvlText w:val="(%2)"/>
      <w:numFmt w:val="lowerLetter"/>
      <w:start w:val="35"/>
    </w:lvl>
  </w:abstractNum>
  <w:abstractNum w:abstractNumId="259">
    <w:nsid w:val="53B735D5"/>
    <w:multiLevelType w:val="hybridMultilevel"/>
    <w:lvl w:ilvl="0">
      <w:lvlJc w:val="left"/>
      <w:lvlText w:val="(%1)"/>
      <w:numFmt w:val="lowerLetter"/>
      <w:start w:val="2"/>
    </w:lvl>
    <w:lvl w:ilvl="1">
      <w:lvlJc w:val="left"/>
      <w:lvlText w:val="%2"/>
      <w:numFmt w:val="lowerLetter"/>
      <w:start w:val="1"/>
    </w:lvl>
  </w:abstractNum>
  <w:abstractNum w:abstractNumId="260">
    <w:nsid w:val="29784870"/>
    <w:multiLevelType w:val="hybridMultilevel"/>
    <w:lvl w:ilvl="0">
      <w:lvlJc w:val="left"/>
      <w:lvlText w:val="%1."/>
      <w:numFmt w:val="decimal"/>
      <w:start w:val="7"/>
    </w:lvl>
  </w:abstractNum>
  <w:abstractNum w:abstractNumId="261">
    <w:nsid w:val="4CDCED4C"/>
    <w:multiLevelType w:val="hybridMultilevel"/>
    <w:lvl w:ilvl="0">
      <w:lvlJc w:val="left"/>
      <w:lvlText w:val="(%1)"/>
      <w:numFmt w:val="lowerLetter"/>
      <w:start w:val="1"/>
    </w:lvl>
    <w:lvl w:ilvl="1">
      <w:lvlJc w:val="left"/>
      <w:lvlText w:val="(%2)"/>
      <w:numFmt w:val="lowerRoman"/>
      <w:start w:val="1"/>
    </w:lvl>
  </w:abstractNum>
  <w:abstractNum w:abstractNumId="262">
    <w:nsid w:val="10A30D9C"/>
    <w:multiLevelType w:val="hybridMultilevel"/>
    <w:lvl w:ilvl="0">
      <w:lvlJc w:val="left"/>
      <w:lvlText w:val="(%1)"/>
      <w:numFmt w:val="lowerRoman"/>
      <w:start w:val="2"/>
    </w:lvl>
  </w:abstractNum>
  <w:abstractNum w:abstractNumId="263">
    <w:nsid w:val="A66E486"/>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64">
    <w:nsid w:val="306235E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65">
    <w:nsid w:val="1187C70F"/>
    <w:multiLevelType w:val="hybridMultilevel"/>
    <w:lvl w:ilvl="0">
      <w:lvlJc w:val="left"/>
      <w:lvlText w:val="%1."/>
      <w:numFmt w:val="lowerRoman"/>
      <w:start w:val="1"/>
    </w:lvl>
  </w:abstractNum>
  <w:abstractNum w:abstractNumId="266">
    <w:nsid w:val="5476DE98"/>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267">
    <w:nsid w:val="EA697F2"/>
    <w:multiLevelType w:val="hybridMultilevel"/>
    <w:lvl w:ilvl="0">
      <w:lvlJc w:val="left"/>
      <w:lvlText w:val="%1"/>
      <w:numFmt w:val="lowerRoman"/>
      <w:start w:val="1"/>
    </w:lvl>
    <w:lvl w:ilvl="1">
      <w:lvlJc w:val="left"/>
      <w:lvlText w:val="(%2)"/>
      <w:numFmt w:val="upperLetter"/>
      <w:start w:val="5"/>
    </w:lvl>
    <w:lvl w:ilvl="2">
      <w:lvlJc w:val="left"/>
      <w:lvlText w:val="%3"/>
      <w:numFmt w:val="lowerRoman"/>
      <w:start w:val="1"/>
    </w:lvl>
  </w:abstractNum>
  <w:abstractNum w:abstractNumId="268">
    <w:nsid w:val="70BA39EB"/>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269">
    <w:nsid w:val="4A8DB59C"/>
    <w:multiLevelType w:val="hybridMultilevel"/>
    <w:lvl w:ilvl="0">
      <w:lvlJc w:val="left"/>
      <w:lvlText w:val="%1"/>
      <w:numFmt w:val="lowerRoman"/>
      <w:start w:val="1"/>
    </w:lvl>
    <w:lvl w:ilvl="1">
      <w:lvlJc w:val="left"/>
      <w:lvlText w:val="(%2)"/>
      <w:numFmt w:val="upperLetter"/>
      <w:start w:val="2"/>
    </w:lvl>
  </w:abstractNum>
  <w:abstractNum w:abstractNumId="270">
    <w:nsid w:val="1AFD9053"/>
    <w:multiLevelType w:val="hybridMultilevel"/>
    <w:lvl w:ilvl="0">
      <w:lvlJc w:val="left"/>
      <w:lvlText w:val="(%1)"/>
      <w:numFmt w:val="lowerRoman"/>
      <w:start w:val="3"/>
    </w:lvl>
    <w:lvl w:ilvl="1">
      <w:lvlJc w:val="left"/>
      <w:lvlText w:val="(%2)"/>
      <w:numFmt w:val="upperLetter"/>
      <w:start w:val="1"/>
    </w:lvl>
  </w:abstractNum>
  <w:abstractNum w:abstractNumId="271">
    <w:nsid w:val="558BB10D"/>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272">
    <w:nsid w:val="43B27FA7"/>
    <w:multiLevelType w:val="hybridMultilevel"/>
    <w:lvl w:ilvl="0">
      <w:lvlJc w:val="left"/>
      <w:lvlText w:val="(%1)"/>
      <w:numFmt w:val="lowerRoman"/>
      <w:start w:val="5"/>
    </w:lvl>
    <w:lvl w:ilvl="1">
      <w:lvlJc w:val="left"/>
      <w:lvlText w:val="(%2)"/>
      <w:numFmt w:val="upperLetter"/>
      <w:start w:val="1"/>
    </w:lvl>
    <w:lvl w:ilvl="2">
      <w:lvlJc w:val="left"/>
      <w:lvlText w:val="%3."/>
      <w:numFmt w:val="lowerRoman"/>
      <w:start w:val="1"/>
    </w:lvl>
  </w:abstractNum>
  <w:abstractNum w:abstractNumId="273">
    <w:nsid w:val="27FADEFA"/>
    <w:multiLevelType w:val="hybridMultilevel"/>
    <w:lvl w:ilvl="0">
      <w:lvlJc w:val="left"/>
      <w:lvlText w:val="%1"/>
      <w:numFmt w:val="upperLetter"/>
      <w:start w:val="1"/>
    </w:lvl>
    <w:lvl w:ilvl="1">
      <w:lvlJc w:val="left"/>
      <w:lvlText w:val="%2."/>
      <w:numFmt w:val="lowerRoman"/>
      <w:start w:val="2"/>
    </w:lvl>
  </w:abstractNum>
  <w:abstractNum w:abstractNumId="274">
    <w:nsid w:val="78BB805A"/>
    <w:multiLevelType w:val="hybridMultilevel"/>
    <w:lvl w:ilvl="0">
      <w:lvlJc w:val="left"/>
      <w:lvlText w:val="(%1)"/>
      <w:numFmt w:val="upperLetter"/>
      <w:start w:val="2"/>
    </w:lvl>
    <w:lvl w:ilvl="1">
      <w:lvlJc w:val="left"/>
      <w:lvlText w:val="%2."/>
      <w:numFmt w:val="lowerRoman"/>
      <w:start w:val="1"/>
    </w:lvl>
  </w:abstractNum>
  <w:abstractNum w:abstractNumId="275">
    <w:nsid w:val="62548FD8"/>
    <w:multiLevelType w:val="hybridMultilevel"/>
    <w:lvl w:ilvl="0">
      <w:lvlJc w:val="left"/>
      <w:lvlText w:val="%1"/>
      <w:numFmt w:val="lowerLetter"/>
      <w:start w:val="1"/>
    </w:lvl>
    <w:lvl w:ilvl="1">
      <w:lvlJc w:val="left"/>
      <w:lvlText w:val="(%2)"/>
      <w:numFmt w:val="lowerRoman"/>
      <w:start w:val="6"/>
    </w:lvl>
  </w:abstractNum>
  <w:abstractNum w:abstractNumId="276">
    <w:nsid w:val="FA085B0"/>
    <w:multiLevelType w:val="hybridMultilevel"/>
    <w:lvl w:ilvl="0">
      <w:lvlJc w:val="left"/>
      <w:lvlText w:val="(%1)"/>
      <w:numFmt w:val="lowerLetter"/>
      <w:start w:val="5"/>
    </w:lvl>
    <w:lvl w:ilvl="1">
      <w:lvlJc w:val="left"/>
      <w:lvlText w:val="(%2)"/>
      <w:numFmt w:val="lowerRoman"/>
      <w:start w:val="1"/>
    </w:lvl>
  </w:abstractNum>
  <w:abstractNum w:abstractNumId="277">
    <w:nsid w:val="4E5DCB5"/>
    <w:multiLevelType w:val="hybridMultilevel"/>
    <w:lvl w:ilvl="0">
      <w:lvlJc w:val="left"/>
      <w:lvlText w:val="%1."/>
      <w:numFmt w:val="decimal"/>
      <w:start w:val="8"/>
    </w:lvl>
  </w:abstractNum>
  <w:abstractNum w:abstractNumId="278">
    <w:nsid w:val="41E96BDB"/>
    <w:multiLevelType w:val="hybridMultilevel"/>
    <w:lvl w:ilvl="0">
      <w:lvlJc w:val="left"/>
      <w:lvlText w:val="%1."/>
      <w:numFmt w:val="decimal"/>
      <w:start w:val="9"/>
    </w:lvl>
  </w:abstractNum>
  <w:abstractNum w:abstractNumId="279">
    <w:nsid w:val="331C4250"/>
    <w:multiLevelType w:val="hybridMultilevel"/>
    <w:lvl w:ilvl="0">
      <w:lvlJc w:val="left"/>
      <w:lvlText w:val="%1."/>
      <w:numFmt w:val="decimal"/>
      <w:start w:val="10"/>
    </w:lvl>
  </w:abstractNum>
  <w:abstractNum w:abstractNumId="280">
    <w:nsid w:val="1B1493C2"/>
    <w:multiLevelType w:val="hybridMultilevel"/>
    <w:lvl w:ilvl="0">
      <w:lvlJc w:val="left"/>
      <w:lvlText w:val="%1."/>
      <w:numFmt w:val="decimal"/>
      <w:start w:val="11"/>
    </w:lvl>
  </w:abstractNum>
  <w:abstractNum w:abstractNumId="281">
    <w:nsid w:val="39F06DFD"/>
    <w:multiLevelType w:val="hybridMultilevel"/>
    <w:lvl w:ilvl="0">
      <w:lvlJc w:val="left"/>
      <w:lvlText w:val="(%1)"/>
      <w:numFmt w:val="lowerLetter"/>
      <w:start w:val="1"/>
    </w:lvl>
    <w:lvl w:ilvl="1">
      <w:lvlJc w:val="left"/>
      <w:lvlText w:val="(%2)"/>
      <w:numFmt w:val="lowerRoman"/>
      <w:start w:val="1"/>
    </w:lvl>
  </w:abstractNum>
  <w:abstractNum w:abstractNumId="282">
    <w:nsid w:val="14802F5D"/>
    <w:multiLevelType w:val="hybridMultilevel"/>
    <w:lvl w:ilvl="0">
      <w:lvlJc w:val="left"/>
      <w:lvlText w:val="(%1)"/>
      <w:numFmt w:val="lowerLetter"/>
      <w:start w:val="1"/>
    </w:lvl>
  </w:abstractNum>
  <w:abstractNum w:abstractNumId="283">
    <w:nsid w:val="2774A209"/>
    <w:multiLevelType w:val="hybridMultilevel"/>
    <w:lvl w:ilvl="0">
      <w:lvlJc w:val="left"/>
      <w:lvlText w:val="(%1)"/>
      <w:numFmt w:val="lowerLetter"/>
      <w:start w:val="1"/>
    </w:lvl>
  </w:abstractNum>
  <w:abstractNum w:abstractNumId="284">
    <w:nsid w:val="3785655A"/>
    <w:multiLevelType w:val="hybridMultilevel"/>
    <w:lvl w:ilvl="0">
      <w:lvlJc w:val="left"/>
      <w:lvlText w:val="(%1)"/>
      <w:numFmt w:val="lowerLetter"/>
      <w:start w:val="1"/>
    </w:lvl>
    <w:lvl w:ilvl="1">
      <w:lvlJc w:val="left"/>
      <w:lvlText w:val="(%2)"/>
      <w:numFmt w:val="lowerRoman"/>
      <w:start w:val="1"/>
    </w:lvl>
  </w:abstractNum>
  <w:abstractNum w:abstractNumId="285">
    <w:nsid w:val="B2172A"/>
    <w:multiLevelType w:val="hybridMultilevel"/>
    <w:lvl w:ilvl="0">
      <w:lvlJc w:val="left"/>
      <w:lvlText w:val="(%1)"/>
      <w:numFmt w:val="lowerLetter"/>
      <w:start w:val="3"/>
    </w:lvl>
  </w:abstractNum>
  <w:abstractNum w:abstractNumId="286">
    <w:nsid w:val="532C34A5"/>
    <w:multiLevelType w:val="hybridMultilevel"/>
    <w:lvl w:ilvl="0">
      <w:lvlJc w:val="left"/>
      <w:lvlText w:val="(%1)"/>
      <w:numFmt w:val="lowerLetter"/>
      <w:start w:val="8"/>
    </w:lvl>
  </w:abstractNum>
  <w:abstractNum w:abstractNumId="287">
    <w:nsid w:val="102809E2"/>
    <w:multiLevelType w:val="hybridMultilevel"/>
    <w:lvl w:ilvl="0">
      <w:lvlJc w:val="left"/>
      <w:lvlText w:val="%1"/>
      <w:numFmt w:val="decimal"/>
      <w:start w:val="1"/>
    </w:lvl>
    <w:lvl w:ilvl="1">
      <w:lvlJc w:val="left"/>
      <w:lvlText w:val="(%2)"/>
      <w:numFmt w:val="lowerLetter"/>
      <w:start w:val="1"/>
    </w:lvl>
  </w:abstractNum>
  <w:abstractNum w:abstractNumId="288">
    <w:nsid w:val="3B2125A3"/>
    <w:multiLevelType w:val="hybridMultilevel"/>
    <w:lvl w:ilvl="0">
      <w:lvlJc w:val="left"/>
      <w:lvlText w:val="%1."/>
      <w:numFmt w:val="decimal"/>
      <w:start w:val="12"/>
    </w:lvl>
    <w:lvl w:ilvl="1">
      <w:lvlJc w:val="left"/>
      <w:lvlText w:val="%2"/>
      <w:numFmt w:val="lowerLetter"/>
      <w:start w:val="1"/>
    </w:lvl>
  </w:abstractNum>
  <w:abstractNum w:abstractNumId="289">
    <w:nsid w:val="AC68FFB"/>
    <w:multiLevelType w:val="hybridMultilevel"/>
    <w:lvl w:ilvl="0">
      <w:lvlJc w:val="left"/>
      <w:lvlText w:val="(%1)"/>
      <w:numFmt w:val="lowerLetter"/>
      <w:start w:val="1"/>
    </w:lvl>
  </w:abstractNum>
  <w:abstractNum w:abstractNumId="290">
    <w:nsid w:val="63DF3FB7"/>
    <w:multiLevelType w:val="hybridMultilevel"/>
    <w:lvl w:ilvl="0">
      <w:lvlJc w:val="left"/>
      <w:lvlText w:val="(%1)"/>
      <w:numFmt w:val="lowerLetter"/>
      <w:start w:val="2"/>
    </w:lvl>
  </w:abstractNum>
  <w:abstractNum w:abstractNumId="291">
    <w:nsid w:val="64996E13"/>
    <w:multiLevelType w:val="hybridMultilevel"/>
    <w:lvl w:ilvl="0">
      <w:lvlJc w:val="left"/>
      <w:lvlText w:val="(%1)"/>
      <w:numFmt w:val="lowerLetter"/>
      <w:start w:val="1"/>
    </w:lvl>
  </w:abstractNum>
  <w:abstractNum w:abstractNumId="292">
    <w:nsid w:val="57A37D47"/>
    <w:multiLevelType w:val="hybridMultilevel"/>
    <w:lvl w:ilvl="0">
      <w:lvlJc w:val="left"/>
      <w:lvlText w:val="(%1)"/>
      <w:numFmt w:val="lowerLetter"/>
      <w:start w:val="1"/>
    </w:lvl>
  </w:abstractNum>
  <w:abstractNum w:abstractNumId="293">
    <w:nsid w:val="74824D54"/>
    <w:multiLevelType w:val="hybridMultilevel"/>
    <w:lvl w:ilvl="0">
      <w:lvlJc w:val="left"/>
      <w:lvlText w:val="(%1)"/>
      <w:numFmt w:val="lowerLetter"/>
      <w:start w:val="1"/>
    </w:lvl>
  </w:abstractNum>
  <w:abstractNum w:abstractNumId="294">
    <w:nsid w:val="6F00529A"/>
    <w:multiLevelType w:val="hybridMultilevel"/>
    <w:lvl w:ilvl="0">
      <w:lvlJc w:val="left"/>
      <w:lvlText w:val="(%1)"/>
      <w:numFmt w:val="lowerLetter"/>
      <w:start w:val="2"/>
    </w:lvl>
  </w:abstractNum>
  <w:abstractNum w:abstractNumId="295">
    <w:nsid w:val="805B331"/>
    <w:multiLevelType w:val="hybridMultilevel"/>
    <w:lvl w:ilvl="0">
      <w:lvlJc w:val="left"/>
      <w:lvlText w:val="(%1)"/>
      <w:numFmt w:val="lowerLetter"/>
      <w:start w:val="1"/>
    </w:lvl>
  </w:abstractNum>
  <w:abstractNum w:abstractNumId="296">
    <w:nsid w:val="60A1463"/>
    <w:multiLevelType w:val="hybridMultilevel"/>
    <w:lvl w:ilvl="0">
      <w:lvlJc w:val="left"/>
      <w:lvlText w:val="(%1)"/>
      <w:numFmt w:val="lowerLetter"/>
      <w:start w:val="1"/>
    </w:lvl>
    <w:lvl w:ilvl="1">
      <w:lvlJc w:val="left"/>
      <w:lvlText w:val="(%2)"/>
      <w:numFmt w:val="lowerRoman"/>
      <w:start w:val="1"/>
    </w:lvl>
  </w:abstractNum>
  <w:abstractNum w:abstractNumId="297">
    <w:nsid w:val="43773132"/>
    <w:multiLevelType w:val="hybridMultilevel"/>
    <w:lvl w:ilvl="0">
      <w:lvlJc w:val="left"/>
      <w:lvlText w:val="%1."/>
      <w:numFmt w:val="decimal"/>
      <w:start w:val="13"/>
    </w:lvl>
  </w:abstractNum>
  <w:abstractNum w:abstractNumId="298">
    <w:nsid w:val="16AC4B23"/>
    <w:multiLevelType w:val="hybridMultilevel"/>
    <w:lvl w:ilvl="0">
      <w:lvlJc w:val="left"/>
      <w:lvlText w:val="(%1)"/>
      <w:numFmt w:val="lowerLetter"/>
      <w:start w:val="1"/>
    </w:lvl>
    <w:lvl w:ilvl="1">
      <w:lvlJc w:val="left"/>
      <w:lvlText w:val="(%2)"/>
      <w:numFmt w:val="lowerRoman"/>
      <w:start w:val="1"/>
    </w:lvl>
  </w:abstractNum>
  <w:abstractNum w:abstractNumId="299">
    <w:nsid w:val="76C44E4E"/>
    <w:multiLevelType w:val="hybridMultilevel"/>
    <w:lvl w:ilvl="0">
      <w:lvlJc w:val="left"/>
      <w:lvlText w:val="(%1)"/>
      <w:numFmt w:val="lowerRoman"/>
      <w:start w:val="2"/>
    </w:lvl>
  </w:abstractNum>
  <w:abstractNum w:abstractNumId="300">
    <w:nsid w:val="E04E6CE"/>
    <w:multiLevelType w:val="hybridMultilevel"/>
    <w:lvl w:ilvl="0">
      <w:lvlJc w:val="left"/>
      <w:lvlText w:val="%1."/>
      <w:numFmt w:val="decimal"/>
      <w:start w:val="14"/>
    </w:lvl>
  </w:abstractNum>
  <w:abstractNum w:abstractNumId="301">
    <w:nsid w:val="31A9DB76"/>
    <w:multiLevelType w:val="hybridMultilevel"/>
    <w:lvl w:ilvl="0">
      <w:lvlJc w:val="left"/>
      <w:lvlText w:val="(%1)"/>
      <w:numFmt w:val="lowerLetter"/>
      <w:start w:val="1"/>
    </w:lvl>
  </w:abstractNum>
  <w:abstractNum w:abstractNumId="302">
    <w:nsid w:val="4C4FFF5B"/>
    <w:multiLevelType w:val="hybridMultilevel"/>
    <w:lvl w:ilvl="0">
      <w:lvlJc w:val="left"/>
      <w:lvlText w:val="%1."/>
      <w:numFmt w:val="decimal"/>
      <w:start w:val="15"/>
    </w:lvl>
    <w:lvl w:ilvl="1">
      <w:lvlJc w:val="left"/>
      <w:lvlText w:val="(%2)"/>
      <w:numFmt w:val="lowerLetter"/>
      <w:start w:val="1"/>
    </w:lvl>
  </w:abstractNum>
  <w:abstractNum w:abstractNumId="303">
    <w:nsid w:val="51B76675"/>
    <w:multiLevelType w:val="hybridMultilevel"/>
    <w:lvl w:ilvl="0">
      <w:lvlJc w:val="left"/>
      <w:lvlText w:val="(%1)"/>
      <w:numFmt w:val="lowerLetter"/>
      <w:start w:val="4"/>
    </w:lvl>
  </w:abstractNum>
  <w:abstractNum w:abstractNumId="304">
    <w:nsid w:val="59A4BA71"/>
    <w:multiLevelType w:val="hybridMultilevel"/>
    <w:lvl w:ilvl="0">
      <w:lvlJc w:val="left"/>
      <w:lvlText w:val="%1."/>
      <w:numFmt w:val="decimal"/>
      <w:start w:val="16"/>
    </w:lvl>
  </w:abstractNum>
  <w:abstractNum w:abstractNumId="305">
    <w:nsid w:val="450B7FB6"/>
    <w:multiLevelType w:val="hybridMultilevel"/>
    <w:lvl w:ilvl="0">
      <w:lvlJc w:val="left"/>
      <w:lvlText w:val="%1."/>
      <w:numFmt w:val="decimal"/>
      <w:start w:val="17"/>
    </w:lvl>
  </w:abstractNum>
  <w:abstractNum w:abstractNumId="306">
    <w:nsid w:val="340BF64D"/>
    <w:multiLevelType w:val="hybridMultilevel"/>
    <w:lvl w:ilvl="0">
      <w:lvlJc w:val="left"/>
      <w:lvlText w:val="(%1)"/>
      <w:numFmt w:val="lowerLetter"/>
      <w:start w:val="1"/>
    </w:lvl>
  </w:abstractNum>
  <w:abstractNum w:abstractNumId="307">
    <w:nsid w:val="69454021"/>
    <w:multiLevelType w:val="hybridMultilevel"/>
    <w:lvl w:ilvl="0">
      <w:lvlJc w:val="left"/>
      <w:lvlText w:val="%1."/>
      <w:numFmt w:val="decimal"/>
      <w:start w:val="19"/>
    </w:lvl>
    <w:lvl w:ilvl="1">
      <w:lvlJc w:val="left"/>
      <w:lvlText w:val="(%2)"/>
      <w:numFmt w:val="lowerLetter"/>
      <w:start w:val="1"/>
    </w:lvl>
  </w:abstractNum>
  <w:abstractNum w:abstractNumId="308">
    <w:nsid w:val="49F15C6B"/>
    <w:multiLevelType w:val="hybridMultilevel"/>
    <w:lvl w:ilvl="0">
      <w:lvlJc w:val="left"/>
      <w:lvlText w:val="%1."/>
      <w:numFmt w:val="decimal"/>
      <w:start w:val="21"/>
    </w:lvl>
    <w:lvl w:ilvl="1">
      <w:lvlJc w:val="left"/>
      <w:lvlText w:val="(%2)"/>
      <w:numFmt w:val="lowerLetter"/>
      <w:start w:val="1"/>
    </w:lvl>
  </w:abstractNum>
  <w:abstractNum w:abstractNumId="309">
    <w:nsid w:val="75F56228"/>
    <w:multiLevelType w:val="hybridMultilevel"/>
    <w:lvl w:ilvl="0">
      <w:lvlJc w:val="left"/>
      <w:lvlText w:val="%1."/>
      <w:numFmt w:val="decimal"/>
      <w:start w:val="22"/>
    </w:lvl>
    <w:lvl w:ilvl="1">
      <w:lvlJc w:val="left"/>
      <w:lvlText w:val="(%2)"/>
      <w:numFmt w:val="lowerLetter"/>
      <w:start w:val="1"/>
    </w:lvl>
  </w:abstractNum>
  <w:abstractNum w:abstractNumId="310">
    <w:nsid w:val="1C618271"/>
    <w:multiLevelType w:val="hybridMultilevel"/>
    <w:lvl w:ilvl="0">
      <w:lvlJc w:val="left"/>
      <w:lvlText w:val="%1."/>
      <w:numFmt w:val="decimal"/>
      <w:start w:val="23"/>
    </w:lvl>
    <w:lvl w:ilvl="1">
      <w:lvlJc w:val="left"/>
      <w:lvlText w:val="(%2)"/>
      <w:numFmt w:val="lowerLetter"/>
      <w:start w:val="1"/>
    </w:lvl>
  </w:abstractNum>
  <w:abstractNum w:abstractNumId="311">
    <w:nsid w:val="6505F02E"/>
    <w:multiLevelType w:val="hybridMultilevel"/>
    <w:lvl w:ilvl="0">
      <w:lvlJc w:val="left"/>
      <w:lvlText w:val="(%1)"/>
      <w:numFmt w:val="lowerLetter"/>
      <w:start w:val="1"/>
    </w:lvl>
  </w:abstractNum>
  <w:abstractNum w:abstractNumId="312">
    <w:nsid w:val="2FE5D025"/>
    <w:multiLevelType w:val="hybridMultilevel"/>
    <w:lvl w:ilvl="0">
      <w:lvlJc w:val="left"/>
      <w:lvlText w:val="(%1)"/>
      <w:numFmt w:val="lowerLetter"/>
      <w:start w:val="3"/>
    </w:lvl>
  </w:abstractNum>
  <w:abstractNum w:abstractNumId="313">
    <w:nsid w:val="30E1B1CF"/>
    <w:multiLevelType w:val="hybridMultilevel"/>
    <w:lvl w:ilvl="0">
      <w:lvlJc w:val="left"/>
      <w:lvlText w:val="%1"/>
      <w:numFmt w:val="decimal"/>
      <w:start w:val="1"/>
    </w:lvl>
    <w:lvl w:ilvl="1">
      <w:lvlJc w:val="left"/>
      <w:lvlText w:val="(%2)"/>
      <w:numFmt w:val="lowerLetter"/>
      <w:start w:val="1"/>
    </w:lvl>
  </w:abstractNum>
  <w:abstractNum w:abstractNumId="314">
    <w:nsid w:val="C7A9237"/>
    <w:multiLevelType w:val="hybridMultilevel"/>
    <w:lvl w:ilvl="0">
      <w:lvlJc w:val="left"/>
      <w:lvlText w:val="%1."/>
      <w:numFmt w:val="decimal"/>
      <w:start w:val="25"/>
    </w:lvl>
    <w:lvl w:ilvl="1">
      <w:lvlJc w:val="left"/>
      <w:lvlText w:val="%2"/>
      <w:numFmt w:val="lowerLetter"/>
      <w:start w:val="1"/>
    </w:lvl>
  </w:abstractNum>
  <w:abstractNum w:abstractNumId="315">
    <w:nsid w:val="676B3580"/>
    <w:multiLevelType w:val="hybridMultilevel"/>
    <w:lvl w:ilvl="0">
      <w:lvlJc w:val="left"/>
      <w:lvlText w:val="%1."/>
      <w:numFmt w:val="decimal"/>
      <w:start w:val="26"/>
    </w:lvl>
  </w:abstractNum>
  <w:abstractNum w:abstractNumId="316">
    <w:nsid w:val="3193C8F9"/>
    <w:multiLevelType w:val="hybridMultilevel"/>
    <w:lvl w:ilvl="0">
      <w:lvlJc w:val="left"/>
      <w:lvlText w:val="%1."/>
      <w:numFmt w:val="decimal"/>
      <w:start w:val="27"/>
    </w:lvl>
  </w:abstractNum>
  <w:abstractNum w:abstractNumId="317">
    <w:nsid w:val="5FA6C6DC"/>
    <w:multiLevelType w:val="hybridMultilevel"/>
    <w:lvl w:ilvl="0">
      <w:lvlJc w:val="left"/>
      <w:lvlText w:val="(%1)"/>
      <w:numFmt w:val="lowerLetter"/>
      <w:start w:val="1"/>
    </w:lvl>
    <w:lvl w:ilvl="1">
      <w:lvlJc w:val="left"/>
      <w:lvlText w:val="(%2)"/>
      <w:numFmt w:val="lowerRoman"/>
      <w:start w:val="1"/>
    </w:lvl>
  </w:abstractNum>
  <w:abstractNum w:abstractNumId="318">
    <w:nsid w:val="77933F62"/>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abstractNum>
  <w:abstractNum w:abstractNumId="319">
    <w:nsid w:val="6CB4EE9C"/>
    <w:multiLevelType w:val="hybridMultilevel"/>
    <w:lvl w:ilvl="0">
      <w:lvlJc w:val="left"/>
      <w:lvlText w:val="%1."/>
      <w:numFmt w:val="decimal"/>
      <w:start w:val="29"/>
    </w:lvl>
  </w:abstractNum>
  <w:abstractNum w:abstractNumId="320">
    <w:nsid w:val="6A6D56D7"/>
    <w:multiLevelType w:val="hybridMultilevel"/>
    <w:lvl w:ilvl="0">
      <w:lvlJc w:val="left"/>
      <w:lvlText w:val="(%1)"/>
      <w:numFmt w:val="lowerLetter"/>
      <w:start w:val="1"/>
    </w:lvl>
    <w:lvl w:ilvl="1">
      <w:lvlJc w:val="left"/>
      <w:lvlText w:val="(%2)"/>
      <w:numFmt w:val="lowerRoman"/>
      <w:start w:val="1"/>
    </w:lvl>
  </w:abstractNum>
  <w:abstractNum w:abstractNumId="321">
    <w:nsid w:val="5B727F19"/>
    <w:multiLevelType w:val="hybridMultilevel"/>
    <w:lvl w:ilvl="0">
      <w:lvlJc w:val="left"/>
      <w:lvlText w:val="%1"/>
      <w:numFmt w:val="lowerLetter"/>
      <w:start w:val="1"/>
    </w:lvl>
    <w:lvl w:ilvl="1">
      <w:lvlJc w:val="left"/>
      <w:lvlText w:val="(%2)"/>
      <w:numFmt w:val="lowerRoman"/>
      <w:start w:val="3"/>
    </w:lvl>
  </w:abstractNum>
  <w:abstractNum w:abstractNumId="322">
    <w:nsid w:val="514E5CB0"/>
    <w:multiLevelType w:val="hybridMultilevel"/>
    <w:lvl w:ilvl="0">
      <w:lvlJc w:val="left"/>
      <w:lvlText w:val="(%1)"/>
      <w:numFmt w:val="lowerLetter"/>
      <w:start w:val="2"/>
    </w:lvl>
    <w:lvl w:ilvl="1">
      <w:lvlJc w:val="left"/>
      <w:lvlText w:val="(%2)"/>
      <w:numFmt w:val="lowerRoman"/>
      <w:start w:val="1"/>
    </w:lvl>
  </w:abstractNum>
  <w:abstractNum w:abstractNumId="323">
    <w:nsid w:val="4210D41E"/>
    <w:multiLevelType w:val="hybridMultilevel"/>
    <w:lvl w:ilvl="0">
      <w:lvlJc w:val="left"/>
      <w:lvlText w:val="(%1)"/>
      <w:numFmt w:val="lowerLetter"/>
      <w:start w:val="1"/>
    </w:lvl>
  </w:abstractNum>
  <w:abstractNum w:abstractNumId="324">
    <w:nsid w:val="4FF4CC6D"/>
    <w:multiLevelType w:val="hybridMultilevel"/>
    <w:lvl w:ilvl="0">
      <w:lvlJc w:val="left"/>
      <w:lvlText w:val="(%1)"/>
      <w:numFmt w:val="lowerLetter"/>
      <w:start w:val="2"/>
    </w:lvl>
  </w:abstractNum>
  <w:abstractNum w:abstractNumId="325">
    <w:nsid w:val="404EAF4A"/>
    <w:multiLevelType w:val="hybridMultilevel"/>
    <w:lvl w:ilvl="0">
      <w:lvlJc w:val="left"/>
      <w:lvlText w:val="%1"/>
      <w:numFmt w:val="decimal"/>
      <w:start w:val="1"/>
    </w:lvl>
    <w:lvl w:ilvl="1">
      <w:lvlJc w:val="left"/>
      <w:lvlText w:val="(%2)"/>
      <w:numFmt w:val="lowerLetter"/>
      <w:start w:val="1"/>
    </w:lvl>
  </w:abstractNum>
  <w:abstractNum w:abstractNumId="326">
    <w:nsid w:val="4A16874F"/>
    <w:multiLevelType w:val="hybridMultilevel"/>
    <w:lvl w:ilvl="0">
      <w:lvlJc w:val="left"/>
      <w:lvlText w:val="%1."/>
      <w:numFmt w:val="decimal"/>
      <w:start w:val="30"/>
    </w:lvl>
    <w:lvl w:ilvl="1">
      <w:lvlJc w:val="left"/>
      <w:lvlText w:val="%2"/>
      <w:numFmt w:val="lowerLetter"/>
      <w:start w:val="1"/>
    </w:lvl>
  </w:abstractNum>
  <w:abstractNum w:abstractNumId="327">
    <w:nsid w:val="55FEE0D1"/>
    <w:multiLevelType w:val="hybridMultilevel"/>
    <w:lvl w:ilvl="0">
      <w:lvlJc w:val="left"/>
      <w:lvlText w:val="(%1)"/>
      <w:numFmt w:val="lowerLetter"/>
      <w:start w:val="1"/>
    </w:lvl>
  </w:abstractNum>
  <w:abstractNum w:abstractNumId="328">
    <w:nsid w:val="3C5E07C"/>
    <w:multiLevelType w:val="hybridMultilevel"/>
    <w:lvl w:ilvl="0">
      <w:lvlJc w:val="left"/>
      <w:lvlText w:val="%1."/>
      <w:numFmt w:val="decimal"/>
      <w:start w:val="31"/>
    </w:lvl>
  </w:abstractNum>
  <w:abstractNum w:abstractNumId="329">
    <w:nsid w:val="60C2D273"/>
    <w:multiLevelType w:val="hybridMultilevel"/>
    <w:lvl w:ilvl="0">
      <w:lvlJc w:val="left"/>
      <w:lvlText w:val="(%1)"/>
      <w:numFmt w:val="lowerLetter"/>
      <w:start w:val="1"/>
    </w:lvl>
  </w:abstractNum>
  <w:abstractNum w:abstractNumId="330">
    <w:nsid w:val="4CC32F1F"/>
    <w:multiLevelType w:val="hybridMultilevel"/>
    <w:lvl w:ilvl="0">
      <w:lvlJc w:val="left"/>
      <w:lvlText w:val="(%1)"/>
      <w:numFmt w:val="lowerLetter"/>
      <w:start w:val="1"/>
    </w:lvl>
  </w:abstractNum>
  <w:abstractNum w:abstractNumId="331">
    <w:nsid w:val="11CAC74A"/>
    <w:multiLevelType w:val="hybridMultilevel"/>
    <w:lvl w:ilvl="0">
      <w:lvlJc w:val="left"/>
      <w:lvlText w:val="(%1)"/>
      <w:numFmt w:val="lowerLetter"/>
      <w:start w:val="2"/>
    </w:lvl>
  </w:abstractNum>
  <w:abstractNum w:abstractNumId="332">
    <w:nsid w:val="126CADE9"/>
    <w:multiLevelType w:val="hybridMultilevel"/>
    <w:lvl w:ilvl="0">
      <w:lvlJc w:val="left"/>
      <w:lvlText w:val="(%1)"/>
      <w:numFmt w:val="lowerLetter"/>
      <w:start w:val="1"/>
    </w:lvl>
    <w:lvl w:ilvl="1">
      <w:lvlJc w:val="left"/>
      <w:lvlText w:val="(%2)"/>
      <w:numFmt w:val="lowerLetter"/>
      <w:start w:val="9"/>
    </w:lvl>
  </w:abstractNum>
  <w:abstractNum w:abstractNumId="333">
    <w:nsid w:val="19132E7B"/>
    <w:multiLevelType w:val="hybridMultilevel"/>
    <w:lvl w:ilvl="0">
      <w:lvlJc w:val="left"/>
      <w:lvlText w:val="(%1)"/>
      <w:numFmt w:val="lowerRoman"/>
      <w:start w:val="2"/>
    </w:lvl>
  </w:abstractNum>
  <w:abstractNum w:abstractNumId="334">
    <w:nsid w:val="63822DC0"/>
    <w:multiLevelType w:val="hybridMultilevel"/>
    <w:lvl w:ilvl="0">
      <w:lvlJc w:val="left"/>
      <w:lvlText w:val="%1."/>
      <w:numFmt w:val="decimal"/>
      <w:start w:val="32"/>
    </w:lvl>
    <w:lvl w:ilvl="1">
      <w:lvlJc w:val="left"/>
      <w:lvlText w:val="(%2)"/>
      <w:numFmt w:val="lowerLetter"/>
      <w:start w:val="1"/>
    </w:lvl>
  </w:abstractNum>
  <w:abstractNum w:abstractNumId="335">
    <w:nsid w:val="6C11685A"/>
    <w:multiLevelType w:val="hybridMultilevel"/>
    <w:lvl w:ilvl="0">
      <w:lvlJc w:val="left"/>
      <w:lvlText w:val="(%1)"/>
      <w:numFmt w:val="lowerLetter"/>
      <w:start w:val="1"/>
    </w:lvl>
  </w:abstractNum>
  <w:abstractNum w:abstractNumId="336">
    <w:nsid w:val="5E1EAE31"/>
    <w:multiLevelType w:val="hybridMultilevel"/>
    <w:lvl w:ilvl="0">
      <w:lvlJc w:val="left"/>
      <w:lvlText w:val="(%1)"/>
      <w:numFmt w:val="lowerLetter"/>
      <w:start w:val="1"/>
    </w:lvl>
    <w:lvl w:ilvl="1">
      <w:lvlJc w:val="left"/>
      <w:lvlText w:val="(%2)"/>
      <w:numFmt w:val="lowerRoman"/>
      <w:start w:val="1"/>
    </w:lvl>
  </w:abstractNum>
  <w:abstractNum w:abstractNumId="337">
    <w:nsid w:val="178E240D"/>
    <w:multiLevelType w:val="hybridMultilevel"/>
    <w:lvl w:ilvl="0">
      <w:lvlJc w:val="left"/>
      <w:lvlText w:val="(%1)"/>
      <w:numFmt w:val="lowerLetter"/>
      <w:start w:val="1"/>
    </w:lvl>
  </w:abstractNum>
  <w:abstractNum w:abstractNumId="338">
    <w:nsid w:val="5556A87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9">
    <w:nsid w:val="28100A9C"/>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340">
    <w:nsid w:val="D838636"/>
    <w:multiLevelType w:val="hybridMultilevel"/>
    <w:lvl w:ilvl="0">
      <w:lvlJc w:val="left"/>
      <w:lvlText w:val="%1."/>
      <w:numFmt w:val="decimal"/>
      <w:start w:val="34"/>
    </w:lvl>
  </w:abstractNum>
  <w:abstractNum w:abstractNumId="341">
    <w:nsid w:val="71B82AED"/>
    <w:multiLevelType w:val="hybridMultilevel"/>
    <w:lvl w:ilvl="0">
      <w:lvlJc w:val="left"/>
      <w:lvlText w:val="%1."/>
      <w:numFmt w:val="decimal"/>
      <w:start w:val="35"/>
    </w:lvl>
  </w:abstractNum>
  <w:abstractNum w:abstractNumId="342">
    <w:nsid w:val="D15FACA"/>
    <w:multiLevelType w:val="hybridMultilevel"/>
    <w:lvl w:ilvl="0">
      <w:lvlJc w:val="left"/>
      <w:lvlText w:val="%1."/>
      <w:numFmt w:val="decimal"/>
      <w:start w:val="36"/>
    </w:lvl>
  </w:abstractNum>
  <w:abstractNum w:abstractNumId="343">
    <w:nsid w:val="3D69565B"/>
    <w:multiLevelType w:val="hybridMultilevel"/>
    <w:lvl w:ilvl="0">
      <w:lvlJc w:val="left"/>
      <w:lvlText w:val="(%1)"/>
      <w:numFmt w:val="lowerLetter"/>
      <w:start w:val="1"/>
    </w:lvl>
  </w:abstractNum>
  <w:abstractNum w:abstractNumId="344">
    <w:nsid w:val="2299DCBC"/>
    <w:multiLevelType w:val="hybridMultilevel"/>
    <w:lvl w:ilvl="0">
      <w:lvlJc w:val="left"/>
      <w:lvlText w:val="(%1)"/>
      <w:numFmt w:val="lowerLetter"/>
      <w:start w:val="2"/>
    </w:lvl>
  </w:abstractNum>
  <w:abstractNum w:abstractNumId="345">
    <w:nsid w:val="19908D02"/>
    <w:multiLevelType w:val="hybridMultilevel"/>
    <w:lvl w:ilvl="0">
      <w:lvlJc w:val="left"/>
      <w:lvlText w:val="%1."/>
      <w:numFmt w:val="decimal"/>
      <w:start w:val="37"/>
    </w:lvl>
  </w:abstractNum>
  <w:abstractNum w:abstractNumId="346">
    <w:nsid w:val="24D48BDB"/>
    <w:multiLevelType w:val="hybridMultilevel"/>
    <w:lvl w:ilvl="0">
      <w:lvlJc w:val="left"/>
      <w:lvlText w:val="%1."/>
      <w:numFmt w:val="decimal"/>
      <w:start w:val="38"/>
    </w:lvl>
  </w:abstractNum>
  <w:abstractNum w:abstractNumId="347">
    <w:nsid w:val="542DA5B5"/>
    <w:multiLevelType w:val="hybridMultilevel"/>
    <w:lvl w:ilvl="0">
      <w:lvlJc w:val="left"/>
      <w:lvlText w:val="(%1)"/>
      <w:numFmt w:val="lowerLetter"/>
      <w:start w:val="1"/>
    </w:lvl>
  </w:abstractNum>
  <w:abstractNum w:abstractNumId="348">
    <w:nsid w:val="793753DE"/>
    <w:multiLevelType w:val="hybridMultilevel"/>
    <w:lvl w:ilvl="0">
      <w:lvlJc w:val="left"/>
      <w:lvlText w:val="%1"/>
      <w:numFmt w:val="decimal"/>
      <w:start w:val="1"/>
    </w:lvl>
    <w:lvl w:ilvl="1">
      <w:lvlJc w:val="left"/>
      <w:lvlText w:val="(%2)"/>
      <w:numFmt w:val="lowerRoman"/>
      <w:start w:val="2"/>
    </w:lvl>
  </w:abstractNum>
  <w:abstractNum w:abstractNumId="349">
    <w:nsid w:val="1C67CB3D"/>
    <w:multiLevelType w:val="hybridMultilevel"/>
    <w:lvl w:ilvl="0">
      <w:lvlJc w:val="left"/>
      <w:lvlText w:val="%1."/>
      <w:numFmt w:val="decimal"/>
      <w:start w:val="39"/>
    </w:lvl>
    <w:lvl w:ilvl="1">
      <w:lvlJc w:val="left"/>
      <w:lvlText w:val="%2"/>
      <w:numFmt w:val="lowerRoman"/>
      <w:start w:val="1"/>
    </w:lvl>
  </w:abstractNum>
  <w:abstractNum w:abstractNumId="350">
    <w:nsid w:val="40E29452"/>
    <w:multiLevelType w:val="hybridMultilevel"/>
    <w:lvl w:ilvl="0">
      <w:lvlJc w:val="left"/>
      <w:lvlText w:val="%1."/>
      <w:numFmt w:val="decimal"/>
      <w:start w:val="40"/>
    </w:lvl>
  </w:abstractNum>
  <w:abstractNum w:abstractNumId="351">
    <w:nsid w:val="63A4AA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2">
    <w:nsid w:val="77DA4A57"/>
    <w:multiLevelType w:val="hybridMultilevel"/>
    <w:lvl w:ilvl="0">
      <w:lvlJc w:val="left"/>
      <w:lvlText w:val="%1"/>
      <w:numFmt w:val="lowerLetter"/>
      <w:start w:val="1"/>
    </w:lvl>
    <w:lvl w:ilvl="1">
      <w:lvlJc w:val="left"/>
      <w:lvlText w:val="(%2)"/>
      <w:numFmt w:val="upperLetter"/>
      <w:start w:val="2"/>
    </w:lvl>
  </w:abstractNum>
  <w:abstractNum w:abstractNumId="353">
    <w:nsid w:val="1230F102"/>
    <w:multiLevelType w:val="hybridMultilevel"/>
    <w:lvl w:ilvl="0">
      <w:lvlJc w:val="left"/>
      <w:lvlText w:val="(%1)"/>
      <w:numFmt w:val="lowerLetter"/>
      <w:start w:val="2"/>
    </w:lvl>
    <w:lvl w:ilvl="1">
      <w:lvlJc w:val="left"/>
      <w:lvlText w:val="%2"/>
      <w:numFmt w:val="upperLetter"/>
      <w:start w:val="1"/>
    </w:lvl>
  </w:abstractNum>
  <w:abstractNum w:abstractNumId="354">
    <w:nsid w:val="25B57ED4"/>
    <w:multiLevelType w:val="hybridMultilevel"/>
    <w:lvl w:ilvl="0">
      <w:lvlJc w:val="left"/>
      <w:lvlText w:val="%1."/>
      <w:numFmt w:val="decimal"/>
      <w:start w:val="41"/>
    </w:lvl>
  </w:abstractNum>
  <w:abstractNum w:abstractNumId="355">
    <w:nsid w:val="47CF16C4"/>
    <w:multiLevelType w:val="hybridMultilevel"/>
    <w:lvl w:ilvl="0">
      <w:lvlJc w:val="left"/>
      <w:lvlText w:val="(%1)"/>
      <w:numFmt w:val="lowerLetter"/>
      <w:start w:val="1"/>
    </w:lvl>
  </w:abstractNum>
  <w:abstractNum w:abstractNumId="356">
    <w:nsid w:val="527FA04C"/>
    <w:multiLevelType w:val="hybridMultilevel"/>
    <w:lvl w:ilvl="0">
      <w:lvlJc w:val="left"/>
      <w:lvlText w:val="%1."/>
      <w:numFmt w:val="decimal"/>
      <w:start w:val="42"/>
    </w:lvl>
  </w:abstractNum>
  <w:abstractNum w:abstractNumId="357">
    <w:nsid w:val="6FCC0624"/>
    <w:multiLevelType w:val="hybridMultilevel"/>
    <w:lvl w:ilvl="0">
      <w:lvlJc w:val="left"/>
      <w:lvlText w:val="(%1)"/>
      <w:numFmt w:val="lowerLetter"/>
      <w:start w:val="1"/>
    </w:lvl>
  </w:abstractNum>
  <w:abstractNum w:abstractNumId="358">
    <w:nsid w:val="1DCDF795"/>
    <w:multiLevelType w:val="hybridMultilevel"/>
    <w:lvl w:ilvl="0">
      <w:lvlJc w:val="left"/>
      <w:lvlText w:val="%1."/>
      <w:numFmt w:val="decimal"/>
      <w:start w:val="43"/>
    </w:lvl>
  </w:abstractNum>
  <w:abstractNum w:abstractNumId="359">
    <w:nsid w:val="564580C8"/>
    <w:multiLevelType w:val="hybridMultilevel"/>
    <w:lvl w:ilvl="0">
      <w:lvlJc w:val="left"/>
      <w:lvlText w:val="(%1)"/>
      <w:numFmt w:val="decimal"/>
      <w:start w:val="1"/>
    </w:lvl>
  </w:abstractNum>
  <w:abstractNum w:abstractNumId="360">
    <w:nsid w:val="508ED897"/>
    <w:multiLevelType w:val="hybridMultilevel"/>
    <w:lvl w:ilvl="0">
      <w:lvlJc w:val="left"/>
      <w:lvlText w:val="(%1)"/>
      <w:numFmt w:val="decimal"/>
      <w:start w:val="10"/>
    </w:lvl>
  </w:abstractNum>
  <w:abstractNum w:abstractNumId="361">
    <w:nsid w:val="6A9126B5"/>
    <w:multiLevelType w:val="hybridMultilevel"/>
    <w:lvl w:ilvl="0">
      <w:lvlJc w:val="left"/>
      <w:lvlText w:val="(%1)"/>
      <w:numFmt w:val="decimal"/>
      <w:start w:val="1"/>
    </w:lvl>
  </w:abstractNum>
  <w:abstractNum w:abstractNumId="362">
    <w:nsid w:val="68104812"/>
    <w:multiLevelType w:val="hybridMultilevel"/>
    <w:lvl w:ilvl="0">
      <w:lvlJc w:val="left"/>
      <w:lvlText w:val="(%1)"/>
      <w:numFmt w:val="decimal"/>
      <w:start w:val="1"/>
    </w:lvl>
  </w:abstractNum>
  <w:abstractNum w:abstractNumId="363">
    <w:nsid w:val="62FB8680"/>
    <w:multiLevelType w:val="hybridMultilevel"/>
    <w:lvl w:ilvl="0">
      <w:lvlJc w:val="left"/>
      <w:lvlText w:val="(%1)"/>
      <w:numFmt w:val="decimal"/>
      <w:start w:val="13"/>
    </w:lvl>
  </w:abstractNum>
  <w:abstractNum w:abstractNumId="364">
    <w:nsid w:val="3A45530"/>
    <w:multiLevelType w:val="hybridMultilevel"/>
    <w:lvl w:ilvl="0">
      <w:lvlJc w:val="left"/>
      <w:lvlText w:val="(%1)"/>
      <w:numFmt w:val="decimal"/>
      <w:start w:val="1"/>
    </w:lvl>
  </w:abstractNum>
  <w:abstractNum w:abstractNumId="365">
    <w:nsid w:val="4B9275D2"/>
    <w:multiLevelType w:val="hybridMultilevel"/>
    <w:lvl w:ilvl="0">
      <w:lvlJc w:val="left"/>
      <w:lvlText w:val="(%1)"/>
      <w:numFmt w:val="decimal"/>
      <w:start w:val="1"/>
    </w:lvl>
  </w:abstractNum>
  <w:abstractNum w:abstractNumId="366">
    <w:nsid w:val="4F0CEEDB"/>
    <w:multiLevelType w:val="hybridMultilevel"/>
    <w:lvl w:ilvl="0">
      <w:lvlJc w:val="left"/>
      <w:lvlText w:val="(%1)"/>
      <w:numFmt w:val="decimal"/>
      <w:start w:val="1"/>
    </w:lvl>
  </w:abstractNum>
  <w:abstractNum w:abstractNumId="367">
    <w:nsid w:val="61C30361"/>
    <w:multiLevelType w:val="hybridMultilevel"/>
    <w:lvl w:ilvl="0">
      <w:lvlJc w:val="left"/>
      <w:lvlText w:val="(%1)"/>
      <w:numFmt w:val="decimal"/>
      <w:start w:val="4"/>
    </w:lvl>
  </w:abstractNum>
  <w:abstractNum w:abstractNumId="368">
    <w:nsid w:val="632099E0"/>
    <w:multiLevelType w:val="hybridMultilevel"/>
    <w:lvl w:ilvl="0">
      <w:lvlJc w:val="left"/>
      <w:lvlText w:val="(%1)"/>
      <w:numFmt w:val="decimal"/>
      <w:start w:val="1"/>
    </w:lvl>
  </w:abstractNum>
  <w:abstractNum w:abstractNumId="369">
    <w:nsid w:val="24639756"/>
    <w:multiLevelType w:val="hybridMultilevel"/>
    <w:lvl w:ilvl="0">
      <w:lvlJc w:val="left"/>
      <w:lvlText w:val="(%1)"/>
      <w:numFmt w:val="decimal"/>
      <w:start w:val="5"/>
    </w:lvl>
  </w:abstractNum>
  <w:abstractNum w:abstractNumId="370">
    <w:nsid w:val="9D30DFD"/>
    <w:multiLevelType w:val="hybridMultilevel"/>
    <w:lvl w:ilvl="0">
      <w:lvlJc w:val="left"/>
      <w:lvlText w:val="(%1)"/>
      <w:numFmt w:val="decimal"/>
      <w:start w:val="1"/>
    </w:lvl>
  </w:abstractNum>
  <w:abstractNum w:abstractNumId="371">
    <w:nsid w:val="70A42016"/>
    <w:multiLevelType w:val="hybridMultilevel"/>
    <w:lvl w:ilvl="0">
      <w:lvlJc w:val="left"/>
      <w:lvlText w:val="%1."/>
      <w:numFmt w:val="upperLetter"/>
      <w:start w:val="1"/>
    </w:lvl>
  </w:abstractNum>
  <w:abstractNum w:abstractNumId="372">
    <w:nsid w:val="161BC243"/>
    <w:multiLevelType w:val="hybridMultilevel"/>
    <w:lvl w:ilvl="0">
      <w:lvlJc w:val="left"/>
      <w:lvlText w:val="%1."/>
      <w:numFmt w:val="upperLetter"/>
      <w:start w:val="4"/>
    </w:lvl>
  </w:abstractNum>
  <w:abstractNum w:abstractNumId="373">
    <w:nsid w:val="16E908C8"/>
    <w:multiLevelType w:val="hybridMultilevel"/>
    <w:lvl w:ilvl="0">
      <w:lvlJc w:val="left"/>
      <w:lvlText w:val="%1."/>
      <w:numFmt w:val="decimal"/>
      <w:start w:val="1"/>
    </w:lvl>
  </w:abstractNum>
  <w:abstractNum w:abstractNumId="374">
    <w:nsid w:val="2E0D7671"/>
    <w:multiLevelType w:val="hybridMultilevel"/>
    <w:lvl w:ilvl="0">
      <w:lvlJc w:val="left"/>
      <w:lvlText w:val="(%1)"/>
      <w:numFmt w:val="lowerLetter"/>
      <w:start w:val="1"/>
    </w:lvl>
  </w:abstractNum>
  <w:abstractNum w:abstractNumId="375">
    <w:nsid w:val="38B59EFF"/>
    <w:multiLevelType w:val="hybridMultilevel"/>
    <w:lvl w:ilvl="0">
      <w:lvlJc w:val="left"/>
      <w:lvlText w:val="(%1)"/>
      <w:numFmt w:val="lowerLetter"/>
      <w:start w:val="1"/>
    </w:lvl>
  </w:abstractNum>
  <w:abstractNum w:abstractNumId="376">
    <w:nsid w:val="307995CA"/>
    <w:multiLevelType w:val="hybridMultilevel"/>
    <w:lvl w:ilvl="0">
      <w:lvlJc w:val="left"/>
      <w:lvlText w:val="(%1)"/>
      <w:numFmt w:val="lowerLetter"/>
      <w:start w:val="1"/>
    </w:lvl>
    <w:lvl w:ilvl="1">
      <w:lvlJc w:val="left"/>
      <w:lvlText w:val="(%2)"/>
      <w:numFmt w:val="lowerRoman"/>
      <w:start w:val="1"/>
    </w:lvl>
  </w:abstractNum>
  <w:abstractNum w:abstractNumId="377">
    <w:nsid w:val="52E2024D"/>
    <w:multiLevelType w:val="hybridMultilevel"/>
    <w:lvl w:ilvl="0">
      <w:lvlJc w:val="left"/>
      <w:lvlText w:val="(%1)"/>
      <w:numFmt w:val="lowerLetter"/>
      <w:start w:val="3"/>
    </w:lvl>
  </w:abstractNum>
  <w:abstractNum w:abstractNumId="378">
    <w:nsid w:val="CE344B5"/>
    <w:multiLevelType w:val="hybridMultilevel"/>
    <w:lvl w:ilvl="0">
      <w:lvlJc w:val="left"/>
      <w:lvlText w:val="(%1)"/>
      <w:numFmt w:val="lowerLetter"/>
      <w:start w:val="1"/>
    </w:lvl>
  </w:abstractNum>
  <w:abstractNum w:abstractNumId="379">
    <w:nsid w:val="29B0E9A8"/>
    <w:multiLevelType w:val="hybridMultilevel"/>
    <w:lvl w:ilvl="0">
      <w:lvlJc w:val="left"/>
      <w:lvlText w:val="(%1)"/>
      <w:numFmt w:val="lowerLetter"/>
      <w:start w:val="1"/>
    </w:lvl>
  </w:abstractNum>
  <w:abstractNum w:abstractNumId="380">
    <w:nsid w:val="6F49CD8A"/>
    <w:multiLevelType w:val="hybridMultilevel"/>
    <w:lvl w:ilvl="0">
      <w:lvlJc w:val="left"/>
      <w:lvlText w:val="(%1)"/>
      <w:numFmt w:val="lowerLetter"/>
      <w:start w:val="4"/>
    </w:lvl>
  </w:abstractNum>
  <w:abstractNum w:abstractNumId="381">
    <w:nsid w:val="4DC5D907"/>
    <w:multiLevelType w:val="hybridMultilevel"/>
    <w:lvl w:ilvl="0">
      <w:lvlJc w:val="left"/>
      <w:lvlText w:val="%1."/>
      <w:numFmt w:val="decimal"/>
      <w:start w:val="2"/>
    </w:lvl>
  </w:abstractNum>
  <w:abstractNum w:abstractNumId="382">
    <w:nsid w:val="D55945E"/>
    <w:multiLevelType w:val="hybridMultilevel"/>
    <w:lvl w:ilvl="0">
      <w:lvlJc w:val="left"/>
      <w:lvlText w:val="%1."/>
      <w:numFmt w:val="decimal"/>
      <w:start w:val="3"/>
    </w:lvl>
  </w:abstractNum>
  <w:abstractNum w:abstractNumId="383">
    <w:nsid w:val="672417E1"/>
    <w:multiLevelType w:val="hybridMultilevel"/>
    <w:lvl w:ilvl="0">
      <w:lvlJc w:val="left"/>
      <w:lvlText w:val="(%1)"/>
      <w:numFmt w:val="lowerLetter"/>
      <w:start w:val="1"/>
    </w:lvl>
  </w:abstractNum>
  <w:abstractNum w:abstractNumId="384">
    <w:nsid w:val="5FF6CA09"/>
    <w:multiLevelType w:val="hybridMultilevel"/>
    <w:lvl w:ilvl="0">
      <w:lvlJc w:val="left"/>
      <w:lvlText w:val="%1."/>
      <w:numFmt w:val="decimal"/>
      <w:start w:val="4"/>
    </w:lvl>
  </w:abstractNum>
  <w:abstractNum w:abstractNumId="385">
    <w:nsid w:val="330B1333"/>
    <w:multiLevelType w:val="hybridMultilevel"/>
    <w:lvl w:ilvl="0">
      <w:lvlJc w:val="left"/>
      <w:lvlText w:val="%1."/>
      <w:numFmt w:val="decimal"/>
      <w:start w:val="5"/>
    </w:lvl>
  </w:abstractNum>
  <w:abstractNum w:abstractNumId="386">
    <w:nsid w:val="2EF32EA6"/>
    <w:multiLevelType w:val="hybridMultilevel"/>
    <w:lvl w:ilvl="0">
      <w:lvlJc w:val="left"/>
      <w:lvlText w:val="(%1)"/>
      <w:numFmt w:val="lowerRoman"/>
      <w:start w:val="2"/>
    </w:lvl>
  </w:abstractNum>
  <w:abstractNum w:abstractNumId="387">
    <w:nsid w:val="32766A55"/>
    <w:multiLevelType w:val="hybridMultilevel"/>
    <w:lvl w:ilvl="0">
      <w:lvlJc w:val="left"/>
      <w:lvlText w:val="%1."/>
      <w:numFmt w:val="decimal"/>
      <w:start w:val="6"/>
    </w:lvl>
  </w:abstractNum>
  <w:abstractNum w:abstractNumId="388">
    <w:nsid w:val="22D71957"/>
    <w:multiLevelType w:val="hybridMultilevel"/>
    <w:lvl w:ilvl="0">
      <w:lvlJc w:val="left"/>
      <w:lvlText w:val="(%1)"/>
      <w:numFmt w:val="lowerLetter"/>
      <w:start w:val="1"/>
    </w:lvl>
  </w:abstractNum>
  <w:abstractNum w:abstractNumId="389">
    <w:nsid w:val="4CC1263B"/>
    <w:multiLevelType w:val="hybridMultilevel"/>
    <w:lvl w:ilvl="0">
      <w:lvlJc w:val="left"/>
      <w:lvlText w:val="(%1)"/>
      <w:numFmt w:val="lowerLetter"/>
      <w:start w:val="1"/>
    </w:lvl>
  </w:abstractNum>
  <w:abstractNum w:abstractNumId="390">
    <w:nsid w:val="8BBEB1D"/>
    <w:multiLevelType w:val="hybridMultilevel"/>
    <w:lvl w:ilvl="0">
      <w:lvlJc w:val="left"/>
      <w:lvlText w:val="(%1)"/>
      <w:numFmt w:val="lowerLetter"/>
      <w:start w:val="2"/>
    </w:lvl>
  </w:abstractNum>
  <w:abstractNum w:abstractNumId="391">
    <w:nsid w:val="7365F1EE"/>
    <w:multiLevelType w:val="hybridMultilevel"/>
    <w:lvl w:ilvl="0">
      <w:lvlJc w:val="left"/>
      <w:lvlText w:val="(%1)"/>
      <w:numFmt w:val="decimal"/>
      <w:start w:val="1"/>
    </w:lvl>
  </w:abstractNum>
  <w:abstractNum w:abstractNumId="392">
    <w:nsid w:val="37524CF0"/>
    <w:multiLevelType w:val="hybridMultilevel"/>
    <w:lvl w:ilvl="0">
      <w:lvlJc w:val="left"/>
      <w:lvlText w:val="(%1)"/>
      <w:numFmt w:val="lowerLetter"/>
      <w:start w:val="1"/>
    </w:lvl>
  </w:abstractNum>
  <w:abstractNum w:abstractNumId="393">
    <w:nsid w:val="70CC332F"/>
    <w:multiLevelType w:val="hybridMultilevel"/>
    <w:lvl w:ilvl="0">
      <w:lvlJc w:val="left"/>
      <w:lvlText w:val="(%1)"/>
      <w:numFmt w:val="lowerLetter"/>
      <w:start w:val="2"/>
    </w:lvl>
  </w:abstractNum>
  <w:abstractNum w:abstractNumId="394">
    <w:nsid w:val="5661786E"/>
    <w:multiLevelType w:val="hybridMultilevel"/>
    <w:lvl w:ilvl="0">
      <w:lvlJc w:val="left"/>
      <w:lvlText w:val="(%1)"/>
      <w:numFmt w:val="lowerLetter"/>
      <w:start w:val="1"/>
    </w:lvl>
  </w:abstractNum>
  <w:abstractNum w:abstractNumId="395">
    <w:nsid w:val="3AF6A220"/>
    <w:multiLevelType w:val="hybridMultilevel"/>
    <w:lvl w:ilvl="0">
      <w:lvlJc w:val="left"/>
      <w:lvlText w:val="(%1)"/>
      <w:numFmt w:val="lowerLetter"/>
      <w:start w:val="1"/>
    </w:lvl>
  </w:abstractNum>
  <w:abstractNum w:abstractNumId="396">
    <w:nsid w:val="3C5EA902"/>
    <w:multiLevelType w:val="hybridMultilevel"/>
    <w:lvl w:ilvl="0">
      <w:lvlJc w:val="left"/>
      <w:lvlText w:val="(%1)"/>
      <w:numFmt w:val="lowerLetter"/>
      <w:start w:val="1"/>
    </w:lvl>
  </w:abstractNum>
  <w:abstractNum w:abstractNumId="397">
    <w:nsid w:val="256E6749"/>
    <w:multiLevelType w:val="hybridMultilevel"/>
    <w:lvl w:ilvl="0">
      <w:lvlJc w:val="left"/>
      <w:lvlText w:val="%1."/>
      <w:numFmt w:val="decimal"/>
      <w:start w:val="7"/>
    </w:lvl>
  </w:abstractNum>
  <w:abstractNum w:abstractNumId="398">
    <w:nsid w:val="1CB9A581"/>
    <w:multiLevelType w:val="hybridMultilevel"/>
    <w:lvl w:ilvl="0">
      <w:lvlJc w:val="left"/>
      <w:lvlText w:val="(%1)"/>
      <w:numFmt w:val="decimal"/>
      <w:start w:val="1"/>
    </w:lvl>
  </w:abstractNum>
  <w:abstractNum w:abstractNumId="399">
    <w:nsid w:val="1F7F42E2"/>
    <w:multiLevelType w:val="hybridMultilevel"/>
    <w:lvl w:ilvl="0">
      <w:lvlJc w:val="left"/>
      <w:lvlText w:val="(%1)"/>
      <w:numFmt w:val="lowerLetter"/>
      <w:start w:val="1"/>
    </w:lvl>
  </w:abstractNum>
  <w:abstractNum w:abstractNumId="400">
    <w:nsid w:val="49D1FEA0"/>
    <w:multiLevelType w:val="hybridMultilevel"/>
    <w:lvl w:ilvl="0">
      <w:lvlJc w:val="left"/>
      <w:lvlText w:val="%1."/>
      <w:numFmt w:val="decimal"/>
      <w:start w:val="8"/>
    </w:lvl>
  </w:abstractNum>
  <w:abstractNum w:abstractNumId="401">
    <w:nsid w:val="268CB37F"/>
    <w:multiLevelType w:val="hybridMultilevel"/>
    <w:lvl w:ilvl="0">
      <w:lvlJc w:val="left"/>
      <w:lvlText w:val="%1."/>
      <w:numFmt w:val="decimal"/>
      <w:start w:val="10"/>
    </w:lvl>
  </w:abstractNum>
  <w:abstractNum w:abstractNumId="402">
    <w:nsid w:val="102362F8"/>
    <w:multiLevelType w:val="hybridMultilevel"/>
    <w:lvl w:ilvl="0">
      <w:lvlJc w:val="left"/>
      <w:lvlText w:val="(%1)"/>
      <w:numFmt w:val="lowerLetter"/>
      <w:start w:val="1"/>
    </w:lvl>
  </w:abstractNum>
  <w:abstractNum w:abstractNumId="403">
    <w:nsid w:val="5FEDC0E3"/>
    <w:multiLevelType w:val="hybridMultilevel"/>
    <w:lvl w:ilvl="0">
      <w:lvlJc w:val="left"/>
      <w:lvlText w:val="(%1)"/>
      <w:numFmt w:val="lowerLetter"/>
      <w:start w:val="1"/>
    </w:lvl>
    <w:lvl w:ilvl="1">
      <w:lvlJc w:val="left"/>
      <w:lvlText w:val="(%2)"/>
      <w:numFmt w:val="lowerRoman"/>
      <w:start w:val="1"/>
    </w:lvl>
  </w:abstractNum>
  <w:abstractNum w:abstractNumId="404">
    <w:nsid w:val="3D75BC47"/>
    <w:multiLevelType w:val="hybridMultilevel"/>
    <w:lvl w:ilvl="0">
      <w:lvlJc w:val="left"/>
      <w:lvlText w:val="(%1)"/>
      <w:numFmt w:val="lowerLetter"/>
      <w:start w:val="2"/>
    </w:lvl>
  </w:abstractNum>
  <w:abstractNum w:abstractNumId="405">
    <w:nsid w:val="3E30D969"/>
    <w:multiLevelType w:val="hybridMultilevel"/>
    <w:lvl w:ilvl="0">
      <w:lvlJc w:val="left"/>
      <w:lvlText w:val="(%1)"/>
      <w:numFmt w:val="lowerLetter"/>
      <w:start w:val="1"/>
    </w:lvl>
  </w:abstractNum>
  <w:abstractNum w:abstractNumId="406">
    <w:nsid w:val="18A35FE3"/>
    <w:multiLevelType w:val="hybridMultilevel"/>
    <w:lvl w:ilvl="0">
      <w:lvlJc w:val="left"/>
      <w:lvlText w:val="(%1)"/>
      <w:numFmt w:val="lowerRoman"/>
      <w:start w:val="1"/>
    </w:lvl>
  </w:abstractNum>
  <w:abstractNum w:abstractNumId="407">
    <w:nsid w:val="6DEF5211"/>
    <w:multiLevelType w:val="hybridMultilevel"/>
    <w:lvl w:ilvl="0">
      <w:lvlJc w:val="left"/>
      <w:lvlText w:val="(%1)"/>
      <w:numFmt w:val="lowerRoman"/>
      <w:start w:val="1"/>
    </w:lvl>
  </w:abstractNum>
  <w:abstractNum w:abstractNumId="408">
    <w:nsid w:val="1112DBB6"/>
    <w:multiLevelType w:val="hybridMultilevel"/>
    <w:lvl w:ilvl="0">
      <w:lvlJc w:val="left"/>
      <w:lvlText w:val="(%1)"/>
      <w:numFmt w:val="lowerLetter"/>
      <w:start w:val="1"/>
    </w:lvl>
  </w:abstractNum>
  <w:abstractNum w:abstractNumId="409">
    <w:nsid w:val="2586A498"/>
    <w:multiLevelType w:val="hybridMultilevel"/>
    <w:lvl w:ilvl="0">
      <w:lvlJc w:val="left"/>
      <w:lvlText w:val="(%1)"/>
      <w:numFmt w:val="lowerRoman"/>
      <w:start w:val="2"/>
    </w:lvl>
  </w:abstractNum>
  <w:abstractNum w:abstractNumId="410">
    <w:nsid w:val="17A03BB9"/>
    <w:multiLevelType w:val="hybridMultilevel"/>
    <w:lvl w:ilvl="0">
      <w:lvlJc w:val="left"/>
      <w:lvlText w:val="(%1)"/>
      <w:numFmt w:val="lowerLetter"/>
      <w:start w:val="1"/>
    </w:lvl>
    <w:lvl w:ilvl="1">
      <w:lvlJc w:val="left"/>
      <w:lvlText w:val="(%2)"/>
      <w:numFmt w:val="lowerRoman"/>
      <w:start w:val="1"/>
    </w:lvl>
  </w:abstractNum>
  <w:abstractNum w:abstractNumId="411">
    <w:nsid w:val="5CA941"/>
    <w:multiLevelType w:val="hybridMultilevel"/>
    <w:lvl w:ilvl="0">
      <w:lvlJc w:val="left"/>
      <w:lvlText w:val="%1."/>
      <w:numFmt w:val="decimal"/>
      <w:start w:val="11"/>
    </w:lvl>
  </w:abstractNum>
  <w:abstractNum w:abstractNumId="412">
    <w:nsid w:val="734C7D9F"/>
    <w:multiLevelType w:val="hybridMultilevel"/>
    <w:lvl w:ilvl="0">
      <w:lvlJc w:val="left"/>
      <w:lvlText w:val="(%1)"/>
      <w:numFmt w:val="lowerLetter"/>
      <w:start w:val="1"/>
    </w:lvl>
  </w:abstractNum>
  <w:abstractNum w:abstractNumId="413">
    <w:nsid w:val="24F5D018"/>
    <w:multiLevelType w:val="hybridMultilevel"/>
    <w:lvl w:ilvl="0">
      <w:lvlJc w:val="left"/>
      <w:lvlText w:val="(%1)"/>
      <w:numFmt w:val="lowerLetter"/>
      <w:start w:val="1"/>
    </w:lvl>
  </w:abstractNum>
  <w:abstractNum w:abstractNumId="414">
    <w:nsid w:val="6780C122"/>
    <w:multiLevelType w:val="hybridMultilevel"/>
    <w:lvl w:ilvl="0">
      <w:lvlJc w:val="left"/>
      <w:lvlText w:val="(%1)"/>
      <w:numFmt w:val="lowerLetter"/>
      <w:start w:val="3"/>
    </w:lvl>
  </w:abstractNum>
  <w:abstractNum w:abstractNumId="415">
    <w:nsid w:val="534347A8"/>
    <w:multiLevelType w:val="hybridMultilevel"/>
    <w:lvl w:ilvl="0">
      <w:lvlJc w:val="left"/>
      <w:lvlText w:val="(%1)"/>
      <w:numFmt w:val="lowerLetter"/>
      <w:start w:val="1"/>
    </w:lvl>
    <w:lvl w:ilvl="1">
      <w:lvlJc w:val="left"/>
      <w:lvlText w:val="(%2)"/>
      <w:numFmt w:val="lowerRoman"/>
      <w:start w:val="1"/>
    </w:lvl>
  </w:abstractNum>
  <w:abstractNum w:abstractNumId="416">
    <w:nsid w:val="5800E34B"/>
    <w:multiLevelType w:val="hybridMultilevel"/>
    <w:lvl w:ilvl="0">
      <w:lvlJc w:val="left"/>
      <w:lvlText w:val="(%1)"/>
      <w:numFmt w:val="lowerRoman"/>
      <w:start w:val="2"/>
    </w:lvl>
  </w:abstractNum>
  <w:abstractNum w:abstractNumId="417">
    <w:nsid w:val="1673EFC8"/>
    <w:multiLevelType w:val="hybridMultilevel"/>
    <w:lvl w:ilvl="0">
      <w:lvlJc w:val="left"/>
      <w:lvlText w:val="(%1)"/>
      <w:numFmt w:val="lowerLetter"/>
      <w:start w:val="1"/>
    </w:lvl>
    <w:lvl w:ilvl="1">
      <w:lvlJc w:val="left"/>
      <w:lvlText w:val="(%2)"/>
      <w:numFmt w:val="lowerRoman"/>
      <w:start w:val="1"/>
    </w:lvl>
  </w:abstractNum>
  <w:abstractNum w:abstractNumId="418">
    <w:nsid w:val="5B9B1FD"/>
    <w:multiLevelType w:val="hybridMultilevel"/>
    <w:lvl w:ilvl="0">
      <w:lvlJc w:val="left"/>
      <w:lvlText w:val="%1"/>
      <w:numFmt w:val="decimal"/>
      <w:start w:val="1"/>
    </w:lvl>
    <w:lvl w:ilvl="1">
      <w:lvlJc w:val="left"/>
      <w:lvlText w:val="(%2)"/>
      <w:numFmt w:val="lowerLetter"/>
      <w:start w:val="1"/>
    </w:lvl>
  </w:abstractNum>
  <w:abstractNum w:abstractNumId="419">
    <w:nsid w:val="7AD7FCA2"/>
    <w:multiLevelType w:val="hybridMultilevel"/>
    <w:lvl w:ilvl="0">
      <w:lvlJc w:val="left"/>
      <w:lvlText w:val="%1."/>
      <w:numFmt w:val="decimal"/>
      <w:start w:val="12"/>
    </w:lvl>
    <w:lvl w:ilvl="1">
      <w:lvlJc w:val="left"/>
      <w:lvlText w:val="%2"/>
      <w:numFmt w:val="lowerLetter"/>
      <w:start w:val="1"/>
    </w:lvl>
  </w:abstractNum>
  <w:abstractNum w:abstractNumId="420">
    <w:nsid w:val="63351604"/>
    <w:multiLevelType w:val="hybridMultilevel"/>
    <w:lvl w:ilvl="0">
      <w:lvlJc w:val="left"/>
      <w:lvlText w:val="(%1)"/>
      <w:numFmt w:val="lowerLetter"/>
      <w:start w:val="1"/>
    </w:lvl>
    <w:lvl w:ilvl="1">
      <w:lvlJc w:val="left"/>
      <w:lvlText w:val="(%2)"/>
      <w:numFmt w:val="lowerRoman"/>
      <w:start w:val="1"/>
    </w:lvl>
  </w:abstractNum>
  <w:abstractNum w:abstractNumId="421">
    <w:nsid w:val="E759D1A"/>
    <w:multiLevelType w:val="hybridMultilevel"/>
    <w:lvl w:ilvl="0">
      <w:lvlJc w:val="left"/>
      <w:lvlText w:val="(%1)"/>
      <w:numFmt w:val="lowerLetter"/>
      <w:start w:val="1"/>
    </w:lvl>
  </w:abstractNum>
  <w:abstractNum w:abstractNumId="422">
    <w:nsid w:val="6E3DEE90"/>
    <w:multiLevelType w:val="hybridMultilevel"/>
    <w:lvl w:ilvl="0">
      <w:lvlJc w:val="left"/>
      <w:lvlText w:val="(%1)"/>
      <w:numFmt w:val="lowerLetter"/>
      <w:start w:val="1"/>
    </w:lvl>
  </w:abstractNum>
  <w:abstractNum w:abstractNumId="423">
    <w:nsid w:val="1A8762F4"/>
    <w:multiLevelType w:val="hybridMultilevel"/>
    <w:lvl w:ilvl="0">
      <w:lvlJc w:val="left"/>
      <w:lvlText w:val="%1."/>
      <w:numFmt w:val="decimal"/>
      <w:start w:val="13"/>
    </w:lvl>
  </w:abstractNum>
  <w:abstractNum w:abstractNumId="424">
    <w:nsid w:val="7F41D049"/>
    <w:multiLevelType w:val="hybridMultilevel"/>
    <w:lvl w:ilvl="0">
      <w:lvlJc w:val="left"/>
      <w:lvlText w:val="(%1)"/>
      <w:numFmt w:val="lowerLetter"/>
      <w:start w:val="1"/>
    </w:lvl>
  </w:abstractNum>
  <w:abstractNum w:abstractNumId="425">
    <w:nsid w:val="449F66FE"/>
    <w:multiLevelType w:val="hybridMultilevel"/>
    <w:lvl w:ilvl="0">
      <w:lvlJc w:val="left"/>
      <w:lvlText w:val="(%1)"/>
      <w:numFmt w:val="lowerLetter"/>
      <w:start w:val="2"/>
    </w:lvl>
  </w:abstractNum>
  <w:abstractNum w:abstractNumId="426">
    <w:nsid w:val="557E0515"/>
    <w:multiLevelType w:val="hybridMultilevel"/>
    <w:lvl w:ilvl="0">
      <w:lvlJc w:val="left"/>
      <w:lvlText w:val="%1."/>
      <w:numFmt w:val="decimal"/>
      <w:start w:val="14"/>
    </w:lvl>
  </w:abstractNum>
  <w:abstractNum w:abstractNumId="427">
    <w:nsid w:val="3BA0794B"/>
    <w:multiLevelType w:val="hybridMultilevel"/>
    <w:lvl w:ilvl="0">
      <w:lvlJc w:val="left"/>
      <w:lvlText w:val="%1."/>
      <w:numFmt w:val="decimal"/>
      <w:start w:val="15"/>
    </w:lvl>
  </w:abstractNum>
  <w:abstractNum w:abstractNumId="428">
    <w:nsid w:val="6A0DCE48"/>
    <w:multiLevelType w:val="hybridMultilevel"/>
    <w:lvl w:ilvl="0">
      <w:lvlJc w:val="left"/>
      <w:lvlText w:val="%1."/>
      <w:numFmt w:val="decimal"/>
      <w:start w:val="16"/>
    </w:lvl>
  </w:abstractNum>
  <w:abstractNum w:abstractNumId="429">
    <w:nsid w:val="7237AA96"/>
    <w:multiLevelType w:val="hybridMultilevel"/>
    <w:lvl w:ilvl="0">
      <w:lvlJc w:val="left"/>
      <w:lvlText w:val="(%1)"/>
      <w:numFmt w:val="lowerLetter"/>
      <w:start w:val="1"/>
    </w:lvl>
  </w:abstractNum>
  <w:abstractNum w:abstractNumId="430">
    <w:nsid w:val="5B1FBC2D"/>
    <w:multiLevelType w:val="hybridMultilevel"/>
    <w:lvl w:ilvl="0">
      <w:lvlJc w:val="left"/>
      <w:lvlText w:val="(%1)"/>
      <w:numFmt w:val="lowerLetter"/>
      <w:start w:val="1"/>
    </w:lvl>
  </w:abstractNum>
  <w:abstractNum w:abstractNumId="431">
    <w:nsid w:val="33DFCCE8"/>
    <w:multiLevelType w:val="hybridMultilevel"/>
    <w:lvl w:ilvl="0">
      <w:lvlJc w:val="left"/>
      <w:lvlText w:val="(%1)"/>
      <w:numFmt w:val="lowerLetter"/>
      <w:start w:val="1"/>
    </w:lvl>
  </w:abstractNum>
  <w:abstractNum w:abstractNumId="432">
    <w:nsid w:val="18C45E15"/>
    <w:multiLevelType w:val="hybridMultilevel"/>
    <w:lvl w:ilvl="0">
      <w:lvlJc w:val="left"/>
      <w:lvlText w:val="(%1)"/>
      <w:numFmt w:val="lowerLetter"/>
      <w:start w:val="1"/>
    </w:lvl>
  </w:abstractNum>
  <w:abstractNum w:abstractNumId="433">
    <w:nsid w:val="6B431F25"/>
    <w:multiLevelType w:val="hybridMultilevel"/>
    <w:lvl w:ilvl="0">
      <w:lvlJc w:val="left"/>
      <w:lvlText w:val="(%1)"/>
      <w:numFmt w:val="lowerLetter"/>
      <w:start w:val="2"/>
    </w:lvl>
  </w:abstractNum>
  <w:abstractNum w:abstractNumId="434">
    <w:nsid w:val="13CD8DCB"/>
    <w:multiLevelType w:val="hybridMultilevel"/>
    <w:lvl w:ilvl="0">
      <w:lvlJc w:val="left"/>
      <w:lvlText w:val="(%1)"/>
      <w:numFmt w:val="lowerLetter"/>
      <w:start w:val="1"/>
    </w:lvl>
    <w:lvl w:ilvl="1">
      <w:lvlJc w:val="left"/>
      <w:lvlText w:val="(%2)"/>
      <w:numFmt w:val="lowerRoman"/>
      <w:start w:val="1"/>
    </w:lvl>
  </w:abstractNum>
  <w:abstractNum w:abstractNumId="435">
    <w:nsid w:val="563A1A5C"/>
    <w:multiLevelType w:val="hybridMultilevel"/>
    <w:lvl w:ilvl="0">
      <w:lvlJc w:val="left"/>
      <w:lvlText w:val="(%1)"/>
      <w:numFmt w:val="lowerLetter"/>
      <w:start w:val="2"/>
    </w:lvl>
  </w:abstractNum>
  <w:abstractNum w:abstractNumId="436">
    <w:nsid w:val="2973F88F"/>
    <w:multiLevelType w:val="hybridMultilevel"/>
    <w:lvl w:ilvl="0">
      <w:lvlJc w:val="left"/>
      <w:lvlText w:val="(%1)"/>
      <w:numFmt w:val="lowerLetter"/>
      <w:start w:val="24"/>
    </w:lvl>
  </w:abstractNum>
  <w:abstractNum w:abstractNumId="437">
    <w:nsid w:val="2C70EDAE"/>
    <w:multiLevelType w:val="hybridMultilevel"/>
    <w:lvl w:ilvl="0">
      <w:lvlJc w:val="left"/>
      <w:lvlText w:val="(%1)"/>
      <w:numFmt w:val="lowerLetter"/>
      <w:start w:val="1"/>
    </w:lvl>
    <w:lvl w:ilvl="1">
      <w:lvlJc w:val="left"/>
      <w:lvlText w:val="(%2)"/>
      <w:numFmt w:val="lowerRoman"/>
      <w:start w:val="1"/>
    </w:lvl>
  </w:abstractNum>
  <w:abstractNum w:abstractNumId="438">
    <w:nsid w:val="44296C6D"/>
    <w:multiLevelType w:val="hybridMultilevel"/>
    <w:lvl w:ilvl="0">
      <w:lvlJc w:val="left"/>
      <w:lvlText w:val="%1."/>
      <w:numFmt w:val="decimal"/>
      <w:start w:val="17"/>
    </w:lvl>
  </w:abstractNum>
  <w:abstractNum w:abstractNumId="439">
    <w:nsid w:val="3A86D445"/>
    <w:multiLevelType w:val="hybridMultilevel"/>
    <w:lvl w:ilvl="0">
      <w:lvlJc w:val="left"/>
      <w:lvlText w:val="(%1)"/>
      <w:numFmt w:val="lowerLetter"/>
      <w:start w:val="1"/>
    </w:lvl>
    <w:lvl w:ilvl="1">
      <w:lvlJc w:val="left"/>
      <w:lvlText w:val="(%2)"/>
      <w:numFmt w:val="lowerRoman"/>
      <w:start w:val="1"/>
    </w:lvl>
  </w:abstractNum>
  <w:abstractNum w:abstractNumId="440">
    <w:nsid w:val="51F79246"/>
    <w:multiLevelType w:val="hybridMultilevel"/>
    <w:lvl w:ilvl="0">
      <w:lvlJc w:val="left"/>
      <w:lvlText w:val="(%1)"/>
      <w:numFmt w:val="lowerRoman"/>
      <w:start w:val="2"/>
    </w:lvl>
  </w:abstractNum>
  <w:abstractNum w:abstractNumId="441">
    <w:nsid w:val="5BC9A827"/>
    <w:multiLevelType w:val="hybridMultilevel"/>
    <w:lvl w:ilvl="0">
      <w:lvlJc w:val="left"/>
      <w:lvlText w:val="%1."/>
      <w:numFmt w:val="decimal"/>
      <w:start w:val="18"/>
    </w:lvl>
  </w:abstractNum>
  <w:abstractNum w:abstractNumId="442">
    <w:nsid w:val="3AE37D86"/>
    <w:multiLevelType w:val="hybridMultilevel"/>
    <w:lvl w:ilvl="0">
      <w:lvlJc w:val="left"/>
      <w:lvlText w:val="(%1)"/>
      <w:numFmt w:val="lowerLetter"/>
      <w:start w:val="1"/>
    </w:lvl>
    <w:lvl w:ilvl="1">
      <w:lvlJc w:val="left"/>
      <w:lvlText w:val="(%2)"/>
      <w:numFmt w:val="lowerRoman"/>
      <w:start w:val="1"/>
    </w:lvl>
  </w:abstractNum>
  <w:abstractNum w:abstractNumId="443">
    <w:nsid w:val="45440FE5"/>
    <w:multiLevelType w:val="hybridMultilevel"/>
    <w:lvl w:ilvl="0">
      <w:lvlJc w:val="left"/>
      <w:lvlText w:val="%1"/>
      <w:numFmt w:val="lowerLetter"/>
      <w:start w:val="1"/>
    </w:lvl>
    <w:lvl w:ilvl="1">
      <w:lvlJc w:val="left"/>
      <w:lvlText w:val="(%2)"/>
      <w:numFmt w:val="lowerLetter"/>
      <w:start w:val="35"/>
    </w:lvl>
  </w:abstractNum>
  <w:abstractNum w:abstractNumId="444">
    <w:nsid w:val="BF783F"/>
    <w:multiLevelType w:val="hybridMultilevel"/>
    <w:lvl w:ilvl="0">
      <w:lvlJc w:val="left"/>
      <w:lvlText w:val="(%1)"/>
      <w:numFmt w:val="lowerLetter"/>
      <w:start w:val="2"/>
    </w:lvl>
    <w:lvl w:ilvl="1">
      <w:lvlJc w:val="left"/>
      <w:lvlText w:val="%2"/>
      <w:numFmt w:val="lowerLetter"/>
      <w:start w:val="1"/>
    </w:lvl>
  </w:abstractNum>
  <w:abstractNum w:abstractNumId="445">
    <w:nsid w:val="22643EA9"/>
    <w:multiLevelType w:val="hybridMultilevel"/>
    <w:lvl w:ilvl="0">
      <w:lvlJc w:val="left"/>
      <w:lvlText w:val="(%1)"/>
      <w:numFmt w:val="lowerLetter"/>
      <w:start w:val="1"/>
    </w:lvl>
    <w:lvl w:ilvl="1">
      <w:lvlJc w:val="left"/>
      <w:lvlText w:val="(%2)"/>
      <w:numFmt w:val="lowerRoman"/>
      <w:start w:val="1"/>
    </w:lvl>
  </w:abstractNum>
  <w:abstractNum w:abstractNumId="446">
    <w:nsid w:val="1887578D"/>
    <w:multiLevelType w:val="hybridMultilevel"/>
    <w:lvl w:ilvl="0">
      <w:lvlJc w:val="left"/>
      <w:lvlText w:val="(%1)"/>
      <w:numFmt w:val="lowerLetter"/>
      <w:start w:val="2"/>
    </w:lvl>
    <w:lvl w:ilvl="1">
      <w:lvlJc w:val="left"/>
      <w:lvlText w:val="(%2)"/>
      <w:numFmt w:val="lowerRoman"/>
      <w:start w:val="1"/>
    </w:lvl>
  </w:abstractNum>
  <w:abstractNum w:abstractNumId="447">
    <w:nsid w:val="58C05B8A"/>
    <w:multiLevelType w:val="hybridMultilevel"/>
    <w:lvl w:ilvl="0">
      <w:lvlJc w:val="left"/>
      <w:lvlText w:val="(%1)"/>
      <w:numFmt w:val="lowerLetter"/>
      <w:start w:val="1"/>
    </w:lvl>
  </w:abstractNum>
  <w:abstractNum w:abstractNumId="448">
    <w:nsid w:val="38D82E71"/>
    <w:multiLevelType w:val="hybridMultilevel"/>
    <w:lvl w:ilvl="0">
      <w:lvlJc w:val="left"/>
      <w:lvlText w:val="(%1)"/>
      <w:numFmt w:val="lowerLetter"/>
      <w:start w:val="1"/>
    </w:lvl>
  </w:abstractNum>
  <w:abstractNum w:abstractNumId="449">
    <w:nsid w:val="1E41098A"/>
    <w:multiLevelType w:val="hybridMultilevel"/>
    <w:lvl w:ilvl="0">
      <w:lvlJc w:val="left"/>
      <w:lvlText w:val="%1."/>
      <w:numFmt w:val="decimal"/>
      <w:start w:val="19"/>
    </w:lvl>
  </w:abstractNum>
  <w:abstractNum w:abstractNumId="450">
    <w:nsid w:val="5398582C"/>
    <w:multiLevelType w:val="hybridMultilevel"/>
    <w:lvl w:ilvl="0">
      <w:lvlJc w:val="left"/>
      <w:lvlText w:val="%1."/>
      <w:numFmt w:val="decimal"/>
      <w:start w:val="20"/>
    </w:lvl>
  </w:abstractNum>
  <w:abstractNum w:abstractNumId="451">
    <w:nsid w:val="1C0D4475"/>
    <w:multiLevelType w:val="hybridMultilevel"/>
    <w:lvl w:ilvl="0">
      <w:lvlJc w:val="left"/>
      <w:lvlText w:val="(%1)"/>
      <w:numFmt w:val="lowerLetter"/>
      <w:start w:val="1"/>
    </w:lvl>
  </w:abstractNum>
  <w:abstractNum w:abstractNumId="452">
    <w:nsid w:val="2CB6A6A4"/>
    <w:multiLevelType w:val="hybridMultilevel"/>
    <w:lvl w:ilvl="0">
      <w:lvlJc w:val="left"/>
      <w:lvlText w:val="(%1)"/>
      <w:numFmt w:val="lowerLetter"/>
      <w:start w:val="1"/>
    </w:lvl>
  </w:abstractNum>
  <w:abstractNum w:abstractNumId="453">
    <w:nsid w:val="41D646BC"/>
    <w:multiLevelType w:val="hybridMultilevel"/>
    <w:lvl w:ilvl="0">
      <w:lvlJc w:val="left"/>
      <w:lvlText w:val="(%1)"/>
      <w:numFmt w:val="lowerLetter"/>
      <w:start w:val="4"/>
    </w:lvl>
  </w:abstractNum>
  <w:abstractNum w:abstractNumId="454">
    <w:nsid w:val="3694A76A"/>
    <w:multiLevelType w:val="hybridMultilevel"/>
    <w:lvl w:ilvl="0">
      <w:lvlJc w:val="left"/>
      <w:lvlText w:val="(%1)"/>
      <w:numFmt w:val="lowerLetter"/>
      <w:start w:val="1"/>
    </w:lvl>
  </w:abstractNum>
  <w:abstractNum w:abstractNumId="455">
    <w:nsid w:val="2BF876EE"/>
    <w:multiLevelType w:val="hybridMultilevel"/>
    <w:lvl w:ilvl="0">
      <w:lvlJc w:val="left"/>
      <w:lvlText w:val="(%1)"/>
      <w:numFmt w:val="lowerLetter"/>
      <w:start w:val="1"/>
    </w:lvl>
  </w:abstractNum>
  <w:abstractNum w:abstractNumId="456">
    <w:nsid w:val="675ADBA"/>
    <w:multiLevelType w:val="hybridMultilevel"/>
    <w:lvl w:ilvl="0">
      <w:lvlJc w:val="left"/>
      <w:lvlText w:val="(%1)"/>
      <w:numFmt w:val="lowerLetter"/>
      <w:start w:val="2"/>
    </w:lvl>
    <w:lvl w:ilvl="1">
      <w:lvlJc w:val="left"/>
      <w:lvlText w:val="(%2)"/>
      <w:numFmt w:val="lowerRoman"/>
      <w:start w:val="1"/>
    </w:lvl>
  </w:abstractNum>
  <w:abstractNum w:abstractNumId="457">
    <w:nsid w:val="C12AC7F"/>
    <w:multiLevelType w:val="hybridMultilevel"/>
    <w:lvl w:ilvl="0">
      <w:lvlJc w:val="left"/>
      <w:lvlText w:val="(%1)"/>
      <w:numFmt w:val="lowerLetter"/>
      <w:start w:val="1"/>
    </w:lvl>
  </w:abstractNum>
  <w:abstractNum w:abstractNumId="458">
    <w:nsid w:val="6798F039"/>
    <w:multiLevelType w:val="hybridMultilevel"/>
    <w:lvl w:ilvl="0">
      <w:lvlJc w:val="left"/>
      <w:lvlText w:val="(%1)"/>
      <w:numFmt w:val="lowerLetter"/>
      <w:start w:val="1"/>
    </w:lvl>
  </w:abstractNum>
  <w:abstractNum w:abstractNumId="459">
    <w:nsid w:val="70837C02"/>
    <w:multiLevelType w:val="hybridMultilevel"/>
    <w:lvl w:ilvl="0">
      <w:lvlJc w:val="left"/>
      <w:lvlText w:val="(%1)"/>
      <w:numFmt w:val="lowerLetter"/>
      <w:start w:val="3"/>
    </w:lvl>
  </w:abstractNum>
  <w:abstractNum w:abstractNumId="460">
    <w:nsid w:val="7E4A5715"/>
    <w:multiLevelType w:val="hybridMultilevel"/>
    <w:lvl w:ilvl="0">
      <w:lvlJc w:val="left"/>
      <w:lvlText w:val="%1."/>
      <w:numFmt w:val="decimal"/>
      <w:start w:val="21"/>
    </w:lvl>
  </w:abstractNum>
  <w:abstractNum w:abstractNumId="461">
    <w:nsid w:val="42B8AC67"/>
    <w:multiLevelType w:val="hybridMultilevel"/>
    <w:lvl w:ilvl="0">
      <w:lvlJc w:val="left"/>
      <w:lvlText w:val="(%1)"/>
      <w:numFmt w:val="lowerLetter"/>
      <w:start w:val="1"/>
    </w:lvl>
  </w:abstractNum>
  <w:abstractNum w:abstractNumId="462">
    <w:nsid w:val="246348EA"/>
    <w:multiLevelType w:val="hybridMultilevel"/>
    <w:lvl w:ilvl="0">
      <w:lvlJc w:val="left"/>
      <w:lvlText w:val="(%1)"/>
      <w:numFmt w:val="lowerLetter"/>
      <w:start w:val="1"/>
    </w:lvl>
  </w:abstractNum>
  <w:abstractNum w:abstractNumId="463">
    <w:nsid w:val="170EB52B"/>
    <w:multiLevelType w:val="hybridMultilevel"/>
    <w:lvl w:ilvl="0">
      <w:lvlJc w:val="left"/>
      <w:lvlText w:val="(%1)"/>
      <w:numFmt w:val="lowerLetter"/>
      <w:start w:val="3"/>
    </w:lvl>
  </w:abstractNum>
  <w:abstractNum w:abstractNumId="464">
    <w:nsid w:val="2DFBCB8C"/>
    <w:multiLevelType w:val="hybridMultilevel"/>
    <w:lvl w:ilvl="0">
      <w:lvlJc w:val="left"/>
      <w:lvlText w:val="%1."/>
      <w:numFmt w:val="decimal"/>
      <w:start w:val="22"/>
    </w:lvl>
  </w:abstractNum>
  <w:abstractNum w:abstractNumId="465">
    <w:nsid w:val="3830D6B6"/>
    <w:multiLevelType w:val="hybridMultilevel"/>
    <w:lvl w:ilvl="0">
      <w:lvlJc w:val="left"/>
      <w:lvlText w:val="(%1)"/>
      <w:numFmt w:val="lowerLetter"/>
      <w:start w:val="2"/>
    </w:lvl>
  </w:abstractNum>
  <w:abstractNum w:abstractNumId="466">
    <w:nsid w:val="6D48CF87"/>
    <w:multiLevelType w:val="hybridMultilevel"/>
    <w:lvl w:ilvl="0">
      <w:lvlJc w:val="left"/>
      <w:lvlText w:val="(%1)"/>
      <w:numFmt w:val="lowerRoman"/>
      <w:start w:val="2"/>
    </w:lvl>
  </w:abstractNum>
  <w:abstractNum w:abstractNumId="467">
    <w:nsid w:val="576FC41B"/>
    <w:multiLevelType w:val="hybridMultilevel"/>
    <w:lvl w:ilvl="0">
      <w:lvlJc w:val="left"/>
      <w:lvlText w:val="%1."/>
      <w:numFmt w:val="decimal"/>
      <w:start w:val="23"/>
    </w:lvl>
  </w:abstractNum>
  <w:abstractNum w:abstractNumId="468">
    <w:nsid w:val="64A1C464"/>
    <w:multiLevelType w:val="hybridMultilevel"/>
    <w:lvl w:ilvl="0">
      <w:lvlJc w:val="left"/>
      <w:lvlText w:val="(%1)"/>
      <w:numFmt w:val="lowerLetter"/>
      <w:start w:val="1"/>
    </w:lvl>
  </w:abstractNum>
  <w:abstractNum w:abstractNumId="469">
    <w:nsid w:val="31723BF5"/>
    <w:multiLevelType w:val="hybridMultilevel"/>
    <w:lvl w:ilvl="0">
      <w:lvlJc w:val="left"/>
      <w:lvlText w:val="(%1)"/>
      <w:numFmt w:val="lowerLetter"/>
      <w:start w:val="1"/>
    </w:lvl>
  </w:abstractNum>
  <w:abstractNum w:abstractNumId="470">
    <w:nsid w:val="11F69861"/>
    <w:multiLevelType w:val="hybridMultilevel"/>
    <w:lvl w:ilvl="0">
      <w:lvlJc w:val="left"/>
      <w:lvlText w:val="%1"/>
      <w:numFmt w:val="decimal"/>
      <w:start w:val="1"/>
    </w:lvl>
    <w:lvl w:ilvl="1">
      <w:lvlJc w:val="left"/>
      <w:lvlText w:val="(%2)"/>
      <w:numFmt w:val="lowerRoman"/>
      <w:start w:val="1"/>
    </w:lvl>
  </w:abstractNum>
  <w:abstractNum w:abstractNumId="471">
    <w:nsid w:val="369956AB"/>
    <w:multiLevelType w:val="hybridMultilevel"/>
    <w:lvl w:ilvl="0">
      <w:lvlJc w:val="left"/>
      <w:lvlText w:val="%1."/>
      <w:numFmt w:val="decimal"/>
      <w:start w:val="24"/>
    </w:lvl>
    <w:lvl w:ilvl="1">
      <w:lvlJc w:val="left"/>
      <w:lvlText w:val="%2"/>
      <w:numFmt w:val="lowerRoman"/>
      <w:start w:val="1"/>
    </w:lvl>
  </w:abstractNum>
  <w:abstractNum w:abstractNumId="472">
    <w:nsid w:val="D3BE41C"/>
    <w:multiLevelType w:val="hybridMultilevel"/>
    <w:lvl w:ilvl="0">
      <w:lvlJc w:val="left"/>
      <w:lvlText w:val="(%1)"/>
      <w:numFmt w:val="lowerLetter"/>
      <w:start w:val="1"/>
    </w:lvl>
  </w:abstractNum>
  <w:abstractNum w:abstractNumId="473">
    <w:nsid w:val="4CDA15E7"/>
    <w:multiLevelType w:val="hybridMultilevel"/>
    <w:lvl w:ilvl="0">
      <w:lvlJc w:val="left"/>
      <w:lvlText w:val="(%1)"/>
      <w:numFmt w:val="lowerLetter"/>
      <w:start w:val="3"/>
    </w:lvl>
  </w:abstractNum>
  <w:abstractNum w:abstractNumId="474">
    <w:nsid w:val="7BDD6690"/>
    <w:multiLevelType w:val="hybridMultilevel"/>
    <w:lvl w:ilvl="0">
      <w:lvlJc w:val="left"/>
      <w:lvlText w:val="(%1)"/>
      <w:numFmt w:val="lowerLetter"/>
      <w:start w:val="1"/>
    </w:lvl>
  </w:abstractNum>
  <w:abstractNum w:abstractNumId="475">
    <w:nsid w:val="DFB5C5B"/>
    <w:multiLevelType w:val="hybridMultilevel"/>
    <w:lvl w:ilvl="0">
      <w:lvlJc w:val="left"/>
      <w:lvlText w:val="(%1)"/>
      <w:numFmt w:val="lowerLetter"/>
      <w:start w:val="3"/>
    </w:lvl>
  </w:abstractNum>
  <w:abstractNum w:abstractNumId="476">
    <w:nsid w:val="6F3E5490"/>
    <w:multiLevelType w:val="hybridMultilevel"/>
    <w:lvl w:ilvl="0">
      <w:lvlJc w:val="left"/>
      <w:lvlText w:val="(%1)"/>
      <w:numFmt w:val="lowerLetter"/>
      <w:start w:val="1"/>
    </w:lvl>
    <w:lvl w:ilvl="1">
      <w:lvlJc w:val="left"/>
      <w:lvlText w:val="(%2)"/>
      <w:numFmt w:val="lowerRoman"/>
      <w:start w:val="1"/>
    </w:lvl>
  </w:abstractNum>
  <w:abstractNum w:abstractNumId="477">
    <w:nsid w:val="1464BE1E"/>
    <w:multiLevelType w:val="hybridMultilevel"/>
    <w:lvl w:ilvl="0">
      <w:lvlJc w:val="left"/>
      <w:lvlText w:val="(%1)"/>
      <w:numFmt w:val="lowerLetter"/>
      <w:start w:val="4"/>
    </w:lvl>
  </w:abstractNum>
  <w:abstractNum w:abstractNumId="478">
    <w:nsid w:val="66BBB7E5"/>
    <w:multiLevelType w:val="hybridMultilevel"/>
    <w:lvl w:ilvl="0">
      <w:lvlJc w:val="left"/>
      <w:lvlText w:val="(%1)"/>
      <w:numFmt w:val="lowerLetter"/>
      <w:start w:val="1"/>
    </w:lvl>
  </w:abstractNum>
  <w:abstractNum w:abstractNumId="479">
    <w:nsid w:val="28168302"/>
    <w:multiLevelType w:val="hybridMultilevel"/>
    <w:lvl w:ilvl="0">
      <w:lvlJc w:val="left"/>
      <w:lvlText w:val="(%1)"/>
      <w:numFmt w:val="lowerLetter"/>
      <w:start w:val="6"/>
    </w:lvl>
  </w:abstractNum>
  <w:abstractNum w:abstractNumId="480">
    <w:nsid w:val="32A5C7A8"/>
    <w:multiLevelType w:val="hybridMultilevel"/>
    <w:lvl w:ilvl="0">
      <w:lvlJc w:val="left"/>
      <w:lvlText w:val="(%1)"/>
      <w:numFmt w:val="lowerLetter"/>
      <w:start w:val="1"/>
    </w:lvl>
    <w:lvl w:ilvl="1">
      <w:lvlJc w:val="left"/>
      <w:lvlText w:val="(%2)"/>
      <w:numFmt w:val="lowerRoman"/>
      <w:start w:val="1"/>
    </w:lvl>
  </w:abstractNum>
  <w:abstractNum w:abstractNumId="481">
    <w:nsid w:val="3A541011"/>
    <w:multiLevelType w:val="hybridMultilevel"/>
    <w:lvl w:ilvl="0">
      <w:lvlJc w:val="left"/>
      <w:lvlText w:val="(%1)"/>
      <w:numFmt w:val="lowerLetter"/>
      <w:start w:val="2"/>
    </w:lvl>
  </w:abstractNum>
  <w:abstractNum w:abstractNumId="482">
    <w:nsid w:val="4423C777"/>
    <w:multiLevelType w:val="hybridMultilevel"/>
    <w:lvl w:ilvl="0">
      <w:lvlJc w:val="left"/>
      <w:lvlText w:val="(%1)"/>
      <w:numFmt w:val="lowerLetter"/>
      <w:start w:val="3"/>
    </w:lvl>
  </w:abstractNum>
  <w:abstractNum w:abstractNumId="483">
    <w:nsid w:val="5F5C6E4D"/>
    <w:multiLevelType w:val="hybridMultilevel"/>
    <w:lvl w:ilvl="0">
      <w:lvlJc w:val="left"/>
      <w:lvlText w:val="(%1)"/>
      <w:numFmt w:val="lowerLetter"/>
      <w:start w:val="5"/>
    </w:lvl>
  </w:abstractNum>
  <w:abstractNum w:abstractNumId="484">
    <w:nsid w:val="7C2A56CD"/>
    <w:multiLevelType w:val="hybridMultilevel"/>
    <w:lvl w:ilvl="0">
      <w:lvlJc w:val="left"/>
      <w:lvlText w:val="(%1)"/>
      <w:numFmt w:val="lowerLetter"/>
      <w:start w:val="1"/>
    </w:lvl>
  </w:abstractNum>
  <w:abstractNum w:abstractNumId="485">
    <w:nsid w:val="7AB86EE1"/>
    <w:multiLevelType w:val="hybridMultilevel"/>
    <w:lvl w:ilvl="0">
      <w:lvlJc w:val="left"/>
      <w:lvlText w:val="%1."/>
      <w:numFmt w:val="decimal"/>
      <w:start w:val="25"/>
    </w:lvl>
  </w:abstractNum>
  <w:abstractNum w:abstractNumId="486">
    <w:nsid w:val="B54E53B"/>
    <w:multiLevelType w:val="hybridMultilevel"/>
    <w:lvl w:ilvl="0">
      <w:lvlJc w:val="left"/>
      <w:lvlText w:val="(%1)"/>
      <w:numFmt w:val="lowerLetter"/>
      <w:start w:val="1"/>
    </w:lvl>
  </w:abstractNum>
  <w:abstractNum w:abstractNumId="487">
    <w:nsid w:val="2A00487"/>
    <w:multiLevelType w:val="hybridMultilevel"/>
    <w:lvl w:ilvl="0">
      <w:lvlJc w:val="left"/>
      <w:lvlText w:val="%1."/>
      <w:numFmt w:val="decimal"/>
      <w:start w:val="26"/>
    </w:lvl>
  </w:abstractNum>
  <w:abstractNum w:abstractNumId="488">
    <w:nsid w:val="6CB1B60"/>
    <w:multiLevelType w:val="hybridMultilevel"/>
    <w:lvl w:ilvl="0">
      <w:lvlJc w:val="left"/>
      <w:lvlText w:val="%1."/>
      <w:numFmt w:val="decimal"/>
      <w:start w:val="33"/>
    </w:lvl>
  </w:abstractNum>
  <w:abstractNum w:abstractNumId="489">
    <w:nsid w:val="72EDD574"/>
    <w:multiLevelType w:val="hybridMultilevel"/>
    <w:lvl w:ilvl="0">
      <w:lvlJc w:val="left"/>
      <w:lvlText w:val="%1."/>
      <w:numFmt w:val="decimal"/>
      <w:start w:val="40"/>
    </w:lvl>
  </w:abstractNum>
  <w:abstractNum w:abstractNumId="490">
    <w:nsid w:val="7323808A"/>
    <w:multiLevelType w:val="hybridMultilevel"/>
    <w:lvl w:ilvl="0">
      <w:lvlJc w:val="left"/>
      <w:lvlText w:val="%1."/>
      <w:numFmt w:val="decimal"/>
      <w:start w:val="43"/>
    </w:lvl>
  </w:abstractNum>
  <w:abstractNum w:abstractNumId="491">
    <w:nsid w:val="5157276"/>
    <w:multiLevelType w:val="hybridMultilevel"/>
    <w:lvl w:ilvl="0">
      <w:lvlJc w:val="left"/>
      <w:lvlText w:val="&amp;"/>
      <w:numFmt w:val="bullet"/>
      <w:start w:val="1"/>
    </w:lvl>
  </w:abstractNum>
  <w:abstractNum w:abstractNumId="492">
    <w:nsid w:val="35A681DB"/>
    <w:multiLevelType w:val="hybridMultilevel"/>
    <w:lvl w:ilvl="0">
      <w:lvlJc w:val="left"/>
      <w:lvlText w:val="%1."/>
      <w:numFmt w:val="decimal"/>
      <w:start w:val="1"/>
    </w:lvl>
  </w:abstractNum>
  <w:abstractNum w:abstractNumId="493">
    <w:nsid w:val="1786C974"/>
    <w:multiLevelType w:val="hybridMultilevel"/>
    <w:lvl w:ilvl="0">
      <w:lvlJc w:val="left"/>
      <w:lvlText w:val="%1."/>
      <w:numFmt w:val="decimal"/>
      <w:start w:val="2"/>
    </w:lvl>
  </w:abstractNum>
  <w:abstractNum w:abstractNumId="494">
    <w:nsid w:val="1C2427A1"/>
    <w:multiLevelType w:val="hybridMultilevel"/>
    <w:lvl w:ilvl="0">
      <w:lvlJc w:val="left"/>
      <w:lvlText w:val="%1."/>
      <w:numFmt w:val="decimal"/>
      <w:start w:val="3"/>
    </w:lvl>
  </w:abstractNum>
  <w:abstractNum w:abstractNumId="495">
    <w:nsid w:val="63A24D68"/>
    <w:multiLevelType w:val="hybridMultilevel"/>
    <w:lvl w:ilvl="0">
      <w:lvlJc w:val="left"/>
      <w:lvlText w:val="%1)"/>
      <w:numFmt w:val="lowerLetter"/>
      <w:start w:val="1"/>
    </w:lvl>
  </w:abstractNum>
  <w:abstractNum w:abstractNumId="496">
    <w:nsid w:val="4FB7A02A"/>
    <w:multiLevelType w:val="hybridMultilevel"/>
    <w:lvl w:ilvl="0">
      <w:lvlJc w:val="left"/>
      <w:lvlText w:val="%1."/>
      <w:numFmt w:val="decimal"/>
      <w:start w:val="4"/>
    </w:lvl>
  </w:abstractNum>
  <w:abstractNum w:abstractNumId="497">
    <w:nsid w:val="96CF728"/>
    <w:multiLevelType w:val="hybridMultilevel"/>
    <w:lvl w:ilvl="0">
      <w:lvlJc w:val="left"/>
      <w:lvlText w:val="%1."/>
      <w:numFmt w:val="decimal"/>
      <w:start w:val="5"/>
    </w:lvl>
  </w:abstractNum>
  <w:abstractNum w:abstractNumId="498">
    <w:nsid w:val="3B121183"/>
    <w:multiLevelType w:val="hybridMultilevel"/>
    <w:lvl w:ilvl="0">
      <w:lvlJc w:val="left"/>
      <w:lvlText w:val="%1."/>
      <w:numFmt w:val="decimal"/>
      <w:start w:val="6"/>
    </w:lvl>
  </w:abstractNum>
  <w:abstractNum w:abstractNumId="499">
    <w:nsid w:val="3459648F"/>
    <w:multiLevelType w:val="hybridMultilevel"/>
    <w:lvl w:ilvl="0">
      <w:lvlJc w:val="left"/>
      <w:lvlText w:val="(%1)"/>
      <w:numFmt w:val="lowerLetter"/>
      <w:start w:val="1"/>
    </w:lvl>
  </w:abstractNum>
  <w:abstractNum w:abstractNumId="500">
    <w:nsid w:val="3ADF331D"/>
    <w:multiLevelType w:val="hybridMultilevel"/>
    <w:lvl w:ilvl="0">
      <w:lvlJc w:val="left"/>
      <w:lvlText w:val="(%1)"/>
      <w:numFmt w:val="upperLetter"/>
      <w:start w:val="2"/>
    </w:lvl>
  </w:abstractNum>
  <w:abstractNum w:abstractNumId="501">
    <w:nsid w:val="4D08A9E4"/>
    <w:multiLevelType w:val="hybridMultilevel"/>
    <w:lvl w:ilvl="0">
      <w:lvlJc w:val="left"/>
      <w:lvlText w:val="(%1)"/>
      <w:numFmt w:val="lowerRoman"/>
      <w:start w:val="2"/>
    </w:lvl>
  </w:abstractNum>
  <w:abstractNum w:abstractNumId="502">
    <w:nsid w:val="6AF2BB3A"/>
    <w:multiLevelType w:val="hybridMultilevel"/>
    <w:lvl w:ilvl="0">
      <w:lvlJc w:val="left"/>
      <w:lvlText w:val="(%1)"/>
      <w:numFmt w:val="lowerLetter"/>
      <w:start w:val="1"/>
    </w:lvl>
  </w:abstractNum>
  <w:abstractNum w:abstractNumId="503">
    <w:nsid w:val="481B1739"/>
    <w:multiLevelType w:val="hybridMultilevel"/>
    <w:lvl w:ilvl="0">
      <w:lvlJc w:val="left"/>
      <w:lvlText w:val="(%1)"/>
      <w:numFmt w:val="lowerLetter"/>
      <w:start w:val="10"/>
    </w:lvl>
  </w:abstractNum>
  <w:abstractNum w:abstractNumId="504">
    <w:nsid w:val="19E2BFCC"/>
    <w:multiLevelType w:val="hybridMultilevel"/>
    <w:lvl w:ilvl="0">
      <w:lvlJc w:val="left"/>
      <w:lvlText w:val="(%1)"/>
      <w:numFmt w:val="upperLetter"/>
      <w:start w:val="1"/>
    </w:lvl>
  </w:abstractNum>
  <w:abstractNum w:abstractNumId="505">
    <w:nsid w:val="66D021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06">
    <w:nsid w:val="5616739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07">
    <w:nsid w:val="921145C"/>
    <w:multiLevelType w:val="hybridMultilevel"/>
    <w:lvl w:ilvl="0">
      <w:lvlJc w:val="left"/>
      <w:lvlText w:val="%1"/>
      <w:numFmt w:val="lowerLetter"/>
      <w:start w:val="1"/>
    </w:lvl>
    <w:lvl w:ilvl="1">
      <w:lvlJc w:val="left"/>
      <w:lvlText w:val="(%2)"/>
      <w:numFmt w:val="lowerLetter"/>
      <w:start w:val="3"/>
    </w:lvl>
  </w:abstractNum>
  <w:abstractNum w:abstractNumId="508">
    <w:nsid w:val="7B34DFE8"/>
    <w:multiLevelType w:val="hybridMultilevel"/>
    <w:lvl w:ilvl="0">
      <w:lvlJc w:val="left"/>
      <w:lvlText w:val="(%1)"/>
      <w:numFmt w:val="lowerLetter"/>
      <w:start w:val="35"/>
    </w:lvl>
    <w:lvl w:ilvl="1">
      <w:lvlJc w:val="left"/>
      <w:lvlText w:val="(%2)"/>
      <w:numFmt w:val="lowerLetter"/>
      <w:start w:val="6"/>
    </w:lvl>
  </w:abstractNum>
  <w:abstractNum w:abstractNumId="509">
    <w:nsid w:val="3CD22B79"/>
    <w:multiLevelType w:val="hybridMultilevel"/>
    <w:lvl w:ilvl="0">
      <w:lvlJc w:val="left"/>
      <w:lvlText w:val="%1"/>
      <w:numFmt w:val="lowerLetter"/>
      <w:start w:val="1"/>
    </w:lvl>
    <w:lvl w:ilvl="1">
      <w:lvlJc w:val="left"/>
      <w:lvlText w:val="%2."/>
      <w:numFmt w:val="decimal"/>
      <w:start w:val="2"/>
    </w:lvl>
  </w:abstractNum>
  <w:abstractNum w:abstractNumId="510">
    <w:nsid w:val="3137975E"/>
    <w:multiLevelType w:val="hybridMultilevel"/>
    <w:lvl w:ilvl="0">
      <w:lvlJc w:val="left"/>
      <w:lvlText w:val="(%1)"/>
      <w:numFmt w:val="lowerLetter"/>
      <w:start w:val="1"/>
    </w:lvl>
    <w:lvl w:ilvl="1">
      <w:lvlJc w:val="left"/>
      <w:lvlText w:val="%2"/>
      <w:numFmt w:val="decimal"/>
      <w:start w:val="1"/>
    </w:lvl>
  </w:abstractNum>
  <w:abstractNum w:abstractNumId="511">
    <w:nsid w:val="2DDAA791"/>
    <w:multiLevelType w:val="hybridMultilevel"/>
    <w:lvl w:ilvl="0">
      <w:lvlJc w:val="left"/>
      <w:lvlText w:val="%1."/>
      <w:numFmt w:val="decimal"/>
      <w:start w:val="6"/>
    </w:lvl>
    <w:lvl w:ilvl="1">
      <w:lvlJc w:val="left"/>
      <w:lvlText w:val="(%2)"/>
      <w:numFmt w:val="lowerLetter"/>
      <w:start w:val="1"/>
    </w:lvl>
  </w:abstractNum>
  <w:abstractNum w:abstractNumId="512">
    <w:nsid w:val="77263B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13">
    <w:nsid w:val="755B5ED6"/>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514">
    <w:nsid w:val="D3715DE"/>
    <w:multiLevelType w:val="hybridMultilevel"/>
    <w:lvl w:ilvl="0">
      <w:lvlJc w:val="left"/>
      <w:lvlText w:val="%1"/>
      <w:numFmt w:val="decimal"/>
      <w:start w:val="1"/>
    </w:lvl>
    <w:lvl w:ilvl="1">
      <w:lvlJc w:val="left"/>
      <w:lvlText w:val="(%2)"/>
      <w:numFmt w:val="lowerLetter"/>
      <w:start w:val="4"/>
    </w:lvl>
  </w:abstractNum>
  <w:abstractNum w:abstractNumId="515">
    <w:nsid w:val="73509257"/>
    <w:multiLevelType w:val="hybridMultilevel"/>
    <w:lvl w:ilvl="0">
      <w:lvlJc w:val="left"/>
      <w:lvlText w:val="%1."/>
      <w:numFmt w:val="decimal"/>
      <w:start w:val="10"/>
    </w:lvl>
    <w:lvl w:ilvl="1">
      <w:lvlJc w:val="left"/>
      <w:lvlText w:val="(%2)"/>
      <w:numFmt w:val="lowerLetter"/>
      <w:start w:val="1"/>
    </w:lvl>
  </w:abstractNum>
  <w:abstractNum w:abstractNumId="516">
    <w:nsid w:val="7013CDB7"/>
    <w:multiLevelType w:val="hybridMultilevel"/>
    <w:lvl w:ilvl="0">
      <w:lvlJc w:val="left"/>
      <w:lvlText w:val="%1"/>
      <w:numFmt w:val="decimal"/>
      <w:start w:val="1"/>
    </w:lvl>
    <w:lvl w:ilvl="1">
      <w:lvlJc w:val="left"/>
      <w:lvlText w:val="(%2)"/>
      <w:numFmt w:val="lowerLetter"/>
      <w:start w:val="2"/>
    </w:lvl>
  </w:abstractNum>
  <w:abstractNum w:abstractNumId="517">
    <w:nsid w:val="188BFB19"/>
    <w:multiLevelType w:val="hybridMultilevel"/>
    <w:lvl w:ilvl="0">
      <w:lvlJc w:val="left"/>
      <w:lvlText w:val="%1."/>
      <w:numFmt w:val="decimal"/>
      <w:start w:val="13"/>
    </w:lvl>
    <w:lvl w:ilvl="1">
      <w:lvlJc w:val="left"/>
      <w:lvlText w:val="%2"/>
      <w:numFmt w:val="lowerLetter"/>
      <w:start w:val="1"/>
    </w:lvl>
  </w:abstractNum>
  <w:abstractNum w:abstractNumId="518">
    <w:nsid w:val="75F096DF"/>
    <w:multiLevelType w:val="hybridMultilevel"/>
    <w:lvl w:ilvl="0">
      <w:lvlJc w:val="left"/>
      <w:lvlText w:val="%1."/>
      <w:numFmt w:val="decimal"/>
      <w:start w:val="1"/>
    </w:lvl>
  </w:abstractNum>
  <w:abstractNum w:abstractNumId="519">
    <w:nsid w:val="76DEE918"/>
    <w:multiLevelType w:val="hybridMultilevel"/>
    <w:lvl w:ilvl="0">
      <w:lvlJc w:val="left"/>
      <w:lvlText w:val="%1."/>
      <w:numFmt w:val="decimal"/>
      <w:start w:val="3"/>
    </w:lvl>
    <w:lvl w:ilvl="1">
      <w:lvlJc w:val="left"/>
      <w:lvlText w:val="(%2)"/>
      <w:numFmt w:val="lowerLetter"/>
      <w:start w:val="1"/>
    </w:lvl>
  </w:abstractNum>
  <w:abstractNum w:abstractNumId="520">
    <w:nsid w:val="B79D08D"/>
    <w:multiLevelType w:val="hybridMultilevel"/>
    <w:lvl w:ilvl="0">
      <w:lvlJc w:val="left"/>
      <w:lvlText w:val="%1"/>
      <w:numFmt w:val="decimal"/>
      <w:start w:val="1"/>
    </w:lvl>
    <w:lvl w:ilvl="1">
      <w:lvlJc w:val="left"/>
      <w:lvlText w:val="(%2)"/>
      <w:numFmt w:val="lowerLetter"/>
      <w:start w:val="3"/>
    </w:lvl>
  </w:abstractNum>
  <w:abstractNum w:abstractNumId="521">
    <w:nsid w:val="69141769"/>
    <w:multiLevelType w:val="hybridMultilevel"/>
    <w:lvl w:ilvl="0">
      <w:lvlJc w:val="left"/>
      <w:lvlText w:val="%1."/>
      <w:numFmt w:val="decimal"/>
      <w:start w:val="4"/>
    </w:lvl>
    <w:lvl w:ilvl="1">
      <w:lvlJc w:val="left"/>
      <w:lvlText w:val="%2"/>
      <w:numFmt w:val="lowerLetter"/>
      <w:start w:val="1"/>
    </w:lvl>
  </w:abstractNum>
  <w:abstractNum w:abstractNumId="522">
    <w:nsid w:val="7BF45B8E"/>
    <w:multiLevelType w:val="hybridMultilevel"/>
    <w:lvl w:ilvl="0">
      <w:lvlJc w:val="left"/>
      <w:lvlText w:val="%1."/>
      <w:numFmt w:val="decimal"/>
      <w:start w:val="6"/>
    </w:lvl>
    <w:lvl w:ilvl="1">
      <w:lvlJc w:val="left"/>
      <w:lvlText w:val="(%2)"/>
      <w:numFmt w:val="lowerLetter"/>
      <w:start w:val="1"/>
    </w:lvl>
  </w:abstractNum>
  <w:abstractNum w:abstractNumId="523">
    <w:nsid w:val="41205269"/>
    <w:multiLevelType w:val="hybridMultilevel"/>
    <w:lvl w:ilvl="0">
      <w:lvlJc w:val="left"/>
      <w:lvlText w:val="%1."/>
      <w:numFmt w:val="decimal"/>
      <w:start w:val="7"/>
    </w:lvl>
  </w:abstractNum>
  <w:abstractNum w:abstractNumId="524">
    <w:nsid w:val="9AE0DD"/>
    <w:multiLevelType w:val="hybridMultilevel"/>
    <w:lvl w:ilvl="0">
      <w:lvlJc w:val="left"/>
      <w:lvlText w:val="(%1)"/>
      <w:numFmt w:val="lowerLetter"/>
      <w:start w:val="1"/>
    </w:lvl>
    <w:lvl w:ilvl="1">
      <w:lvlJc w:val="left"/>
      <w:lvlText w:val="(%2)"/>
      <w:numFmt w:val="decimal"/>
      <w:start w:val="1"/>
    </w:lvl>
  </w:abstractNum>
  <w:abstractNum w:abstractNumId="525">
    <w:nsid w:val="1818832F"/>
    <w:multiLevelType w:val="hybridMultilevel"/>
    <w:lvl w:ilvl="0">
      <w:lvlJc w:val="left"/>
      <w:lvlText w:val="(%1)"/>
      <w:numFmt w:val="lowerLetter"/>
      <w:start w:val="6"/>
    </w:lvl>
    <w:lvl w:ilvl="1">
      <w:lvlJc w:val="left"/>
      <w:lvlText w:val="(%2)"/>
      <w:numFmt w:val="lowerLetter"/>
      <w:start w:val="8"/>
    </w:lvl>
    <w:lvl w:ilvl="2">
      <w:lvlJc w:val="left"/>
      <w:lvlText w:val="(%3)"/>
      <w:numFmt w:val="decimal"/>
      <w:start w:val="1"/>
    </w:lvl>
  </w:abstractNum>
  <w:abstractNum w:abstractNumId="526">
    <w:nsid w:val="24C29FD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27">
    <w:nsid w:val="50528108"/>
    <w:multiLevelType w:val="hybridMultilevel"/>
    <w:lvl w:ilvl="0">
      <w:lvlJc w:val="left"/>
      <w:lvlText w:val="(%1)"/>
      <w:numFmt w:val="lowerLetter"/>
      <w:start w:val="3"/>
    </w:lvl>
  </w:abstractNum>
  <w:abstractNum w:abstractNumId="528">
    <w:nsid w:val="21857A57"/>
    <w:multiLevelType w:val="hybridMultilevel"/>
    <w:lvl w:ilvl="0">
      <w:lvlJc w:val="left"/>
      <w:lvlText w:val="(%1)"/>
      <w:numFmt w:val="lowerLetter"/>
      <w:start w:val="4"/>
    </w:lvl>
  </w:abstractNum>
  <w:abstractNum w:abstractNumId="529">
    <w:nsid w:val="5FD4B154"/>
    <w:multiLevelType w:val="hybridMultilevel"/>
    <w:lvl w:ilvl="0">
      <w:lvlJc w:val="left"/>
      <w:lvlText w:val="%1."/>
      <w:numFmt w:val="decimal"/>
      <w:start w:val="9"/>
    </w:lvl>
    <w:lvl w:ilvl="1">
      <w:lvlJc w:val="left"/>
      <w:lvlText w:val="(%2)"/>
      <w:numFmt w:val="lowerLetter"/>
      <w:start w:val="1"/>
    </w:lvl>
  </w:abstractNum>
  <w:abstractNum w:abstractNumId="530">
    <w:nsid w:val="4ABE597"/>
    <w:multiLevelType w:val="hybridMultilevel"/>
    <w:lvl w:ilvl="0">
      <w:lvlJc w:val="left"/>
      <w:lvlText w:val="%1"/>
      <w:numFmt w:val="decimal"/>
      <w:start w:val="1"/>
    </w:lvl>
    <w:lvl w:ilvl="1">
      <w:lvlJc w:val="left"/>
      <w:lvlText w:val="(%2)"/>
      <w:numFmt w:val="lowerLetter"/>
      <w:start w:val="3"/>
    </w:lvl>
  </w:abstractNum>
  <w:abstractNum w:abstractNumId="531">
    <w:nsid w:val="5C64AD75"/>
    <w:multiLevelType w:val="hybridMultilevel"/>
    <w:lvl w:ilvl="0">
      <w:lvlJc w:val="left"/>
      <w:lvlText w:val="%1."/>
      <w:numFmt w:val="decimal"/>
      <w:start w:val="10"/>
    </w:lvl>
    <w:lvl w:ilvl="1">
      <w:lvlJc w:val="left"/>
      <w:lvlText w:val="(%2)"/>
      <w:numFmt w:val="lowerLetter"/>
      <w:start w:val="1"/>
    </w:lvl>
  </w:abstractNum>
  <w:abstractNum w:abstractNumId="532">
    <w:nsid w:val="2CDD5B3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33">
    <w:nsid w:val="6F9EA0D1"/>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534">
    <w:nsid w:val="247FC4AE"/>
    <w:multiLevelType w:val="hybridMultilevel"/>
    <w:lvl w:ilvl="0">
      <w:lvlJc w:val="left"/>
      <w:lvlText w:val="%1."/>
      <w:numFmt w:val="decimal"/>
      <w:start w:val="13"/>
    </w:lvl>
  </w:abstractNum>
  <w:abstractNum w:abstractNumId="535">
    <w:nsid w:val="46C01B05"/>
    <w:multiLevelType w:val="hybridMultilevel"/>
    <w:lvl w:ilvl="0">
      <w:lvlJc w:val="left"/>
      <w:lvlText w:val="%1."/>
      <w:numFmt w:val="decimal"/>
      <w:start w:val="18"/>
    </w:lvl>
  </w:abstractNum>
  <w:abstractNum w:abstractNumId="536">
    <w:nsid w:val="566EC29B"/>
    <w:multiLevelType w:val="hybridMultilevel"/>
    <w:lvl w:ilvl="0">
      <w:lvlJc w:val="left"/>
      <w:lvlText w:val="*"/>
      <w:numFmt w:val="bullet"/>
      <w:start w:val="1"/>
    </w:lvl>
  </w:abstractNum>
  <w:abstractNum w:abstractNumId="537">
    <w:nsid w:val="7A963843"/>
    <w:multiLevelType w:val="hybridMultilevel"/>
    <w:lvl w:ilvl="0">
      <w:lvlJc w:val="left"/>
      <w:lvlText w:val="%1."/>
      <w:numFmt w:val="upperLetter"/>
      <w:start w:val="9"/>
    </w:lvl>
  </w:abstractNum>
  <w:abstractNum w:abstractNumId="538">
    <w:nsid w:val="4FE12F61"/>
    <w:multiLevelType w:val="hybridMultilevel"/>
    <w:lvl w:ilvl="0">
      <w:lvlJc w:val="left"/>
      <w:lvlText w:val="%1."/>
      <w:numFmt w:val="upperLetter"/>
      <w:start w:val="34"/>
    </w:lvl>
    <w:lvl w:ilvl="1">
      <w:lvlJc w:val="left"/>
      <w:lvlText w:val="·"/>
      <w:numFmt w:val="bullet"/>
      <w:start w:val="1"/>
    </w:lvl>
  </w:abstractNum>
  <w:abstractNum w:abstractNumId="539">
    <w:nsid w:val="51A3A284"/>
    <w:multiLevelType w:val="hybridMultilevel"/>
    <w:lvl w:ilvl="0">
      <w:lvlJc w:val="left"/>
      <w:lvlText w:val="%1."/>
      <w:numFmt w:val="upperLetter"/>
      <w:start w:val="61"/>
    </w:lvl>
  </w:abstractNum>
  <w:abstractNum w:abstractNumId="540">
    <w:nsid w:val="376863BC"/>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541">
    <w:nsid w:val="118C6C0"/>
    <w:multiLevelType w:val="hybridMultilevel"/>
    <w:lvl w:ilvl="0">
      <w:lvlJc w:val="left"/>
      <w:lvlText w:val="(%1)"/>
      <w:numFmt w:val="upperLetter"/>
      <w:start w:val="2"/>
    </w:lvl>
  </w:abstractNum>
  <w:abstractNum w:abstractNumId="542">
    <w:nsid w:val="7F7E4A15"/>
    <w:multiLevelType w:val="hybridMultilevel"/>
    <w:lvl w:ilvl="0">
      <w:lvlJc w:val="left"/>
      <w:lvlText w:val="·"/>
      <w:numFmt w:val="bullet"/>
      <w:start w:val="1"/>
    </w:lvl>
  </w:abstractNum>
  <w:abstractNum w:abstractNumId="543">
    <w:nsid w:val="2E8E9F47"/>
    <w:multiLevelType w:val="hybridMultilevel"/>
    <w:lvl w:ilvl="0">
      <w:lvlJc w:val="left"/>
      <w:lvlText w:val="·"/>
      <w:numFmt w:val="bullet"/>
      <w:start w:val="1"/>
    </w:lvl>
  </w:abstractNum>
  <w:abstractNum w:abstractNumId="544">
    <w:nsid w:val="76742596"/>
    <w:multiLevelType w:val="hybridMultilevel"/>
    <w:lvl w:ilvl="0">
      <w:lvlJc w:val="left"/>
      <w:lvlText w:val="%1."/>
      <w:numFmt w:val="upperLetter"/>
      <w:start w:val="22"/>
    </w:lvl>
  </w:abstractNum>
  <w:abstractNum w:abstractNumId="545">
    <w:nsid w:val="CB55FF3"/>
    <w:multiLevelType w:val="hybridMultilevel"/>
    <w:lvl w:ilvl="0">
      <w:lvlJc w:val="left"/>
      <w:lvlText w:val="·"/>
      <w:numFmt w:val="bullet"/>
      <w:start w:val="1"/>
    </w:lvl>
  </w:abstractNum>
  <w:abstractNum w:abstractNumId="546">
    <w:nsid w:val="21DF319E"/>
    <w:multiLevelType w:val="hybridMultilevel"/>
    <w:lvl w:ilvl="0">
      <w:lvlJc w:val="left"/>
      <w:lvlText w:val="·"/>
      <w:numFmt w:val="bullet"/>
      <w:start w:val="1"/>
    </w:lvl>
  </w:abstractNum>
  <w:abstractNum w:abstractNumId="547">
    <w:nsid w:val="6687F34D"/>
    <w:multiLevelType w:val="hybridMultilevel"/>
    <w:lvl w:ilvl="0">
      <w:lvlJc w:val="left"/>
      <w:lvlText w:val="·"/>
      <w:numFmt w:val="bullet"/>
      <w:start w:val="1"/>
    </w:lvl>
  </w:abstractNum>
  <w:abstractNum w:abstractNumId="548">
    <w:nsid w:val="25415B0C"/>
    <w:multiLevelType w:val="hybridMultilevel"/>
    <w:lvl w:ilvl="0">
      <w:lvlJc w:val="left"/>
      <w:lvlText w:val="·"/>
      <w:numFmt w:val="bullet"/>
      <w:start w:val="1"/>
    </w:lvl>
  </w:abstractNum>
  <w:abstractNum w:abstractNumId="549">
    <w:nsid w:val="17CFC87D"/>
    <w:multiLevelType w:val="hybridMultilevel"/>
    <w:lvl w:ilvl="0">
      <w:lvlJc w:val="left"/>
      <w:lvlText w:val="·"/>
      <w:numFmt w:val="bullet"/>
      <w:start w:val="1"/>
    </w:lvl>
  </w:abstractNum>
  <w:abstractNum w:abstractNumId="550">
    <w:nsid w:val="5D66DC65"/>
    <w:multiLevelType w:val="hybridMultilevel"/>
    <w:lvl w:ilvl="0">
      <w:lvlJc w:val="left"/>
      <w:lvlText w:val="·"/>
      <w:numFmt w:val="bullet"/>
      <w:start w:val="1"/>
    </w:lvl>
  </w:abstractNum>
  <w:abstractNum w:abstractNumId="551">
    <w:nsid w:val="30BB2B99"/>
    <w:multiLevelType w:val="hybridMultilevel"/>
    <w:lvl w:ilvl="0">
      <w:lvlJc w:val="left"/>
      <w:lvlText w:val="·"/>
      <w:numFmt w:val="bullet"/>
      <w:start w:val="1"/>
    </w:lvl>
  </w:abstractNum>
  <w:abstractNum w:abstractNumId="552">
    <w:nsid w:val="E3DFE6"/>
    <w:multiLevelType w:val="hybridMultilevel"/>
    <w:lvl w:ilvl="0">
      <w:lvlJc w:val="left"/>
      <w:lvlText w:val="%1."/>
      <w:numFmt w:val="upperLetter"/>
      <w:start w:val="24"/>
    </w:lvl>
  </w:abstractNum>
  <w:abstractNum w:abstractNumId="553">
    <w:nsid w:val="595B37F3"/>
    <w:multiLevelType w:val="hybridMultilevel"/>
    <w:lvl w:ilvl="0">
      <w:lvlJc w:val="left"/>
      <w:lvlText w:val="(%1)"/>
      <w:numFmt w:val="lowerRoman"/>
      <w:start w:val="1"/>
    </w:lvl>
  </w:abstractNum>
  <w:abstractNum w:abstractNumId="554">
    <w:nsid w:val="71DB7E02"/>
    <w:multiLevelType w:val="hybridMultilevel"/>
    <w:lvl w:ilvl="0">
      <w:lvlJc w:val="left"/>
      <w:lvlText w:val="(%1)"/>
      <w:numFmt w:val="lowerRoman"/>
      <w:start w:val="3"/>
    </w:lvl>
  </w:abstractNum>
  <w:abstractNum w:abstractNumId="555">
    <w:nsid w:val="17EC0C4"/>
    <w:multiLevelType w:val="hybridMultilevel"/>
    <w:lvl w:ilvl="0">
      <w:lvlJc w:val="left"/>
      <w:lvlText w:val="(%1)"/>
      <w:numFmt w:val="decimal"/>
      <w:start w:val="1"/>
    </w:lvl>
  </w:abstractNum>
  <w:abstractNum w:abstractNumId="556">
    <w:nsid w:val="7173BB22"/>
    <w:multiLevelType w:val="hybridMultilevel"/>
    <w:lvl w:ilvl="0">
      <w:lvlJc w:val="left"/>
      <w:lvlText w:val="(%1)"/>
      <w:numFmt w:val="decimal"/>
      <w:start w:val="2"/>
    </w:lvl>
  </w:abstractNum>
  <w:abstractNum w:abstractNumId="557">
    <w:nsid w:val="169E1DD3"/>
    <w:multiLevelType w:val="hybridMultilevel"/>
    <w:lvl w:ilvl="0">
      <w:lvlJc w:val="left"/>
      <w:lvlText w:val="(%1)"/>
      <w:numFmt w:val="lowerLetter"/>
      <w:start w:val="1"/>
    </w:lvl>
  </w:abstractNum>
  <w:abstractNum w:abstractNumId="558">
    <w:nsid w:val="51D141CC"/>
    <w:multiLevelType w:val="hybridMultilevel"/>
    <w:lvl w:ilvl="0">
      <w:lvlJc w:val="left"/>
      <w:lvlText w:val="%1."/>
      <w:numFmt w:val="decimal"/>
      <w:start w:val="1"/>
    </w:lvl>
  </w:abstractNum>
  <w:abstractNum w:abstractNumId="559">
    <w:nsid w:val="12F9357A"/>
    <w:multiLevelType w:val="hybridMultilevel"/>
    <w:lvl w:ilvl="0">
      <w:lvlJc w:val="left"/>
      <w:lvlText w:val="(%1)"/>
      <w:numFmt w:val="lowerRoman"/>
      <w:start w:val="2"/>
    </w:lvl>
  </w:abstractNum>
  <w:abstractNum w:abstractNumId="560">
    <w:nsid w:val="7672CF2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jpe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jpeg"/><Relationship Id="rId1012" Type="http://schemas.openxmlformats.org/officeDocument/2006/relationships/image" Target="media/image1005.png"/><Relationship Id="rId1013" Type="http://schemas.openxmlformats.org/officeDocument/2006/relationships/image" Target="media/image1006.jpeg"/><Relationship Id="rId1014" Type="http://schemas.openxmlformats.org/officeDocument/2006/relationships/image" Target="media/image1007.png"/><Relationship Id="rId1015" Type="http://schemas.openxmlformats.org/officeDocument/2006/relationships/image" Target="media/image1008.jpe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jpeg"/><Relationship Id="rId1061" Type="http://schemas.openxmlformats.org/officeDocument/2006/relationships/image" Target="media/image1054.png"/><Relationship Id="rId1062" Type="http://schemas.openxmlformats.org/officeDocument/2006/relationships/image" Target="media/image1055.jpe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jpeg"/><Relationship Id="rId1074" Type="http://schemas.openxmlformats.org/officeDocument/2006/relationships/image" Target="media/image1067.png"/><Relationship Id="rId1075" Type="http://schemas.openxmlformats.org/officeDocument/2006/relationships/image" Target="media/image1068.jpeg"/><Relationship Id="rId1076" Type="http://schemas.openxmlformats.org/officeDocument/2006/relationships/image" Target="media/image1069.png"/><Relationship Id="rId1077" Type="http://schemas.openxmlformats.org/officeDocument/2006/relationships/image" Target="media/image1070.jpeg"/><Relationship Id="rId1078" Type="http://schemas.openxmlformats.org/officeDocument/2006/relationships/image" Target="media/image1071.png"/><Relationship Id="rId1079" Type="http://schemas.openxmlformats.org/officeDocument/2006/relationships/image" Target="media/image1072.jpeg"/><Relationship Id="rId1080" Type="http://schemas.openxmlformats.org/officeDocument/2006/relationships/image" Target="media/image1073.png"/><Relationship Id="rId1081" Type="http://schemas.openxmlformats.org/officeDocument/2006/relationships/image" Target="media/image1074.jpeg"/><Relationship Id="rId1082" Type="http://schemas.openxmlformats.org/officeDocument/2006/relationships/image" Target="media/image1075.png"/><Relationship Id="rId1083" Type="http://schemas.openxmlformats.org/officeDocument/2006/relationships/image" Target="media/image1076.jpe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jpeg"/><Relationship Id="rId1087" Type="http://schemas.openxmlformats.org/officeDocument/2006/relationships/image" Target="media/image1080.png"/><Relationship Id="rId1088" Type="http://schemas.openxmlformats.org/officeDocument/2006/relationships/image" Target="media/image1081.jpe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2024-06-12T08:15:30Z</dcterms:created>
  <dcterms:modified xsi:type="dcterms:W3CDTF">2024-06-12T08:15:30Z</dcterms:modified>
</cp:coreProperties>
</file>