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2736850</wp:posOffset>
            </wp:positionH>
            <wp:positionV relativeFrom="page">
              <wp:posOffset>311785</wp:posOffset>
            </wp:positionV>
            <wp:extent cx="204851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8510" cy="283210"/>
                    </a:xfrm>
                    <a:prstGeom prst="rect">
                      <a:avLst/>
                    </a:prstGeom>
                    <a:noFill/>
                  </pic:spPr>
                </pic:pic>
              </a:graphicData>
            </a:graphic>
          </wp:anchor>
        </w:drawing>
        <w:t>26th Floor, Gloucester Tower</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Landmark</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 Queen’s Road Central</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Telephone: +852 3761 3300</w:t>
      </w:r>
    </w:p>
    <w:p>
      <w:pPr>
        <w:spacing w:after="0" w:line="2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Facsimile: +852 3761 3301</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www.kirkland.com</w:t>
      </w:r>
    </w:p>
    <w:p>
      <w:pPr>
        <w:spacing w:after="0" w:line="221"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ESVF Esports Group Inc.</w:t>
      </w:r>
    </w:p>
    <w:p>
      <w:pPr>
        <w:spacing w:after="0" w:line="3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F-1</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Confidentially Submitted on February 22, 2023</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CIK No. 0001966233</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1" w:lineRule="exact"/>
        <w:rPr>
          <w:sz w:val="24"/>
          <w:szCs w:val="24"/>
          <w:color w:val="auto"/>
        </w:rPr>
      </w:pPr>
    </w:p>
    <w:p>
      <w:pPr>
        <w:ind w:right="20" w:firstLine="638"/>
        <w:spacing w:after="0" w:line="256" w:lineRule="auto"/>
        <w:rPr>
          <w:sz w:val="20"/>
          <w:szCs w:val="20"/>
          <w:color w:val="auto"/>
        </w:rPr>
      </w:pPr>
      <w:r>
        <w:rPr>
          <w:rFonts w:ascii="Times New Roman" w:cs="Times New Roman" w:eastAsia="Times New Roman" w:hAnsi="Times New Roman"/>
          <w:sz w:val="18"/>
          <w:szCs w:val="18"/>
          <w:color w:val="auto"/>
        </w:rPr>
        <w:t>On behalf of our client, ESVF Esports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foreign private issuer incorporated under the laws of the Cayman Islands, we are hereby submitting the Company’s draft registration statement on Form F-1 (the “</w:t>
      </w:r>
      <w:r>
        <w:rPr>
          <w:rFonts w:ascii="Times New Roman" w:cs="Times New Roman" w:eastAsia="Times New Roman" w:hAnsi="Times New Roman"/>
          <w:sz w:val="18"/>
          <w:szCs w:val="18"/>
          <w:b w:val="1"/>
          <w:bCs w:val="1"/>
          <w:i w:val="1"/>
          <w:iCs w:val="1"/>
          <w:color w:val="auto"/>
        </w:rPr>
        <w:t>Draft Registration Statement</w:t>
      </w:r>
      <w:r>
        <w:rPr>
          <w:rFonts w:ascii="Times New Roman" w:cs="Times New Roman" w:eastAsia="Times New Roman" w:hAnsi="Times New Roman"/>
          <w:sz w:val="18"/>
          <w:szCs w:val="18"/>
          <w:color w:val="auto"/>
        </w:rPr>
        <w:t>”) relating to a proposed initial public offering in the United States of the Company’s ordinary shares, par value US$0.0001 per share, to be represented by American depositary shares (“</w:t>
      </w:r>
      <w:r>
        <w:rPr>
          <w:rFonts w:ascii="Times New Roman" w:cs="Times New Roman" w:eastAsia="Times New Roman" w:hAnsi="Times New Roman"/>
          <w:sz w:val="18"/>
          <w:szCs w:val="18"/>
          <w:b w:val="1"/>
          <w:bCs w:val="1"/>
          <w:i w:val="1"/>
          <w:iCs w:val="1"/>
          <w:color w:val="auto"/>
        </w:rPr>
        <w:t>ADSs</w:t>
      </w:r>
      <w:r>
        <w:rPr>
          <w:rFonts w:ascii="Times New Roman" w:cs="Times New Roman" w:eastAsia="Times New Roman" w:hAnsi="Times New Roman"/>
          <w:sz w:val="18"/>
          <w:szCs w:val="18"/>
          <w:color w:val="auto"/>
        </w:rPr>
        <w:t>”), via EDGAR to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for confidential non-public review pursuant to the Jumpstart Our Business Startups Act (the “</w:t>
      </w:r>
      <w:r>
        <w:rPr>
          <w:rFonts w:ascii="Times New Roman" w:cs="Times New Roman" w:eastAsia="Times New Roman" w:hAnsi="Times New Roman"/>
          <w:sz w:val="18"/>
          <w:szCs w:val="18"/>
          <w:b w:val="1"/>
          <w:bCs w:val="1"/>
          <w:i w:val="1"/>
          <w:iCs w:val="1"/>
          <w:color w:val="auto"/>
        </w:rPr>
        <w:t>JOBS Act</w:t>
      </w:r>
      <w:r>
        <w:rPr>
          <w:rFonts w:ascii="Times New Roman" w:cs="Times New Roman" w:eastAsia="Times New Roman" w:hAnsi="Times New Roman"/>
          <w:sz w:val="18"/>
          <w:szCs w:val="18"/>
          <w:color w:val="auto"/>
        </w:rPr>
        <w:t>”). The Company confirms that it is an “Emerging Growth Company” as defined in the JOBS Act and its securities have not been previously sold pursuant to an effective registration statement under the Securities Act of 1933, as amended. A registration statement on Form F-6 relating to the ADSs will be filed with the Commission in due course.</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p>
      <w:pPr>
        <w:spacing w:after="0" w:line="229" w:lineRule="exact"/>
        <w:rPr>
          <w:sz w:val="24"/>
          <w:szCs w:val="24"/>
          <w:color w:val="auto"/>
        </w:rPr>
      </w:pPr>
    </w:p>
    <w:p>
      <w:pPr>
        <w:ind w:firstLine="638"/>
        <w:spacing w:after="0" w:line="255" w:lineRule="auto"/>
        <w:rPr>
          <w:sz w:val="20"/>
          <w:szCs w:val="20"/>
          <w:color w:val="auto"/>
        </w:rPr>
      </w:pPr>
      <w:r>
        <w:rPr>
          <w:rFonts w:ascii="Times New Roman" w:cs="Times New Roman" w:eastAsia="Times New Roman" w:hAnsi="Times New Roman"/>
          <w:sz w:val="18"/>
          <w:szCs w:val="18"/>
          <w:color w:val="auto"/>
        </w:rPr>
        <w:t>The Company respectfully advises the Commission that it underwent a series of share swap transactions to complete the acquisition of Ninjas in Pyjamas Gaming AB, a Swedish public limited liability company incorporated in January 2014, which was closed on January 10, 2023 (the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Ninjas in Pyjamas Gaming AB will be consolidated into the Company’s consolidated financial statements after the Acquisition. As such, the Company has included in the Draft Registration Statement: (i) audited consolidated financial statements as of and for the year ended December 31, 2020 and 2021 for the Company; (ii) audited financial statements as of and for the year ended December 31, 2021 for Ninjas in Pyjamas Gaming AB; (iii) an unaudited pro forma condensed combined statement of comprehensive profit or loss for the year ended December 31, 2021 for the Company, assuming that the Acquisition was completed as of January 1, 2021.</w:t>
      </w:r>
    </w:p>
    <w:p>
      <w:pPr>
        <w:spacing w:after="0" w:line="189" w:lineRule="exact"/>
        <w:rPr>
          <w:sz w:val="24"/>
          <w:szCs w:val="24"/>
          <w:color w:val="auto"/>
        </w:rPr>
      </w:pPr>
    </w:p>
    <w:p>
      <w:pPr>
        <w:ind w:right="320" w:firstLine="638"/>
        <w:spacing w:after="0" w:line="282" w:lineRule="auto"/>
        <w:rPr>
          <w:sz w:val="20"/>
          <w:szCs w:val="20"/>
          <w:color w:val="auto"/>
        </w:rPr>
      </w:pPr>
      <w:r>
        <w:rPr>
          <w:rFonts w:ascii="Times New Roman" w:cs="Times New Roman" w:eastAsia="Times New Roman" w:hAnsi="Times New Roman"/>
          <w:sz w:val="18"/>
          <w:szCs w:val="18"/>
          <w:color w:val="auto"/>
        </w:rPr>
        <w:t>In addition, the Company intends to include the audited consolidated financial statements as of and for the year ended December 31, 2022 in a subsequent submission or filing with the Commission when they become available.</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PARTNERS: </w:t>
      </w:r>
      <w:r>
        <w:rPr>
          <w:rFonts w:ascii="Times New Roman" w:cs="Times New Roman" w:eastAsia="Times New Roman" w:hAnsi="Times New Roman"/>
          <w:sz w:val="14"/>
          <w:szCs w:val="14"/>
          <w:color w:val="auto"/>
        </w:rPr>
        <w:t>Pierre-Luc Arsenault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Manas Chandrashekar</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Lai Yi Chau | Michelle Cheh</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Yik Chin Choi | Maurice Conway</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Justin M. Dolling</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David Patrick Eich</w:t>
      </w:r>
      <w:r>
        <w:rPr>
          <w:rFonts w:ascii="Times New Roman" w:cs="Times New Roman" w:eastAsia="Times New Roman" w:hAnsi="Times New Roman"/>
          <w:sz w:val="23"/>
          <w:szCs w:val="23"/>
          <w:color w:val="auto"/>
          <w:vertAlign w:val="superscript"/>
        </w:rPr>
        <w:t>1,4,5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p>
      <w:pPr>
        <w:spacing w:after="0" w:line="187" w:lineRule="auto"/>
        <w:rPr>
          <w:sz w:val="20"/>
          <w:szCs w:val="20"/>
          <w:color w:val="auto"/>
        </w:rPr>
      </w:pPr>
      <w:r>
        <w:rPr>
          <w:rFonts w:ascii="Times New Roman" w:cs="Times New Roman" w:eastAsia="Times New Roman" w:hAnsi="Times New Roman"/>
          <w:sz w:val="13"/>
          <w:szCs w:val="13"/>
          <w:color w:val="auto"/>
        </w:rPr>
        <w:t>Yuan Yue Jennifer Feng</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3"/>
          <w:szCs w:val="13"/>
          <w:color w:val="auto"/>
        </w:rPr>
        <w:t xml:space="preserve"> | Liu Gan</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3"/>
          <w:szCs w:val="13"/>
          <w:color w:val="auto"/>
        </w:rPr>
        <w:t xml:space="preserve"> | Paul Guan</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Brian Y.T. Ho | Karen K.Y. Ho | Ka Chun Hui | Damian C. Jacobs</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3"/>
          <w:szCs w:val="13"/>
          <w:color w:val="auto"/>
        </w:rPr>
        <w:t xml:space="preserve"> | Guang Li</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Wei Yang Lim</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3"/>
          <w:szCs w:val="13"/>
          <w:color w:val="auto"/>
        </w:rPr>
        <w:t xml:space="preserve"> | Mengyu Lu</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Neil E.M. McDonald |</w:t>
      </w:r>
    </w:p>
    <w:p>
      <w:pPr>
        <w:spacing w:after="0" w:line="1" w:lineRule="exact"/>
        <w:rPr>
          <w:sz w:val="24"/>
          <w:szCs w:val="24"/>
          <w:color w:val="auto"/>
        </w:rPr>
      </w:pPr>
    </w:p>
    <w:p>
      <w:pPr>
        <w:ind w:right="40"/>
        <w:spacing w:after="0" w:line="187" w:lineRule="auto"/>
        <w:rPr>
          <w:sz w:val="20"/>
          <w:szCs w:val="20"/>
          <w:color w:val="auto"/>
        </w:rPr>
      </w:pPr>
      <w:r>
        <w:rPr>
          <w:rFonts w:ascii="Times New Roman" w:cs="Times New Roman" w:eastAsia="Times New Roman" w:hAnsi="Times New Roman"/>
          <w:sz w:val="13"/>
          <w:szCs w:val="13"/>
          <w:color w:val="auto"/>
        </w:rPr>
        <w:t>Kelly Naphtali | Ram Narayan</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Amy Y.M. Ngan</w:t>
      </w: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3"/>
          <w:szCs w:val="13"/>
          <w:color w:val="auto"/>
        </w:rPr>
        <w:t xml:space="preserve"> | Nicholas A. Norris</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3"/>
          <w:szCs w:val="13"/>
          <w:color w:val="auto"/>
        </w:rPr>
        <w:t xml:space="preserve"> | Paul S. Quinn | Louis A. Rabinowitz</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Fergus A. Saurin</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3"/>
          <w:szCs w:val="13"/>
          <w:color w:val="auto"/>
        </w:rPr>
        <w:t xml:space="preserve"> | Jesse D. Sheley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3"/>
          <w:szCs w:val="13"/>
          <w:color w:val="auto"/>
        </w:rPr>
        <w:t xml:space="preserve"> | Yusang Shen | Wenchen Tang</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Peng Yu</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Jacqueline B.N. Zheng</w:t>
      </w:r>
      <w:r>
        <w:rPr>
          <w:rFonts w:ascii="Times New Roman" w:cs="Times New Roman" w:eastAsia="Times New Roman" w:hAnsi="Times New Roman"/>
          <w:sz w:val="21"/>
          <w:szCs w:val="21"/>
          <w:color w:val="auto"/>
          <w:vertAlign w:val="superscript"/>
        </w:rPr>
        <w:t>3,5</w:t>
      </w:r>
      <w:r>
        <w:rPr>
          <w:rFonts w:ascii="Times New Roman" w:cs="Times New Roman" w:eastAsia="Times New Roman" w:hAnsi="Times New Roman"/>
          <w:sz w:val="13"/>
          <w:szCs w:val="13"/>
          <w:color w:val="auto"/>
        </w:rPr>
        <w:t xml:space="preserve"> | Yu Zheng</w:t>
      </w:r>
      <w:r>
        <w:rPr>
          <w:rFonts w:ascii="Times New Roman" w:cs="Times New Roman" w:eastAsia="Times New Roman" w:hAnsi="Times New Roman"/>
          <w:sz w:val="21"/>
          <w:szCs w:val="21"/>
          <w:color w:val="auto"/>
          <w:vertAlign w:val="superscript"/>
        </w:rPr>
        <w:t>3</w:t>
      </w:r>
    </w:p>
    <w:p>
      <w:pPr>
        <w:spacing w:after="0" w:line="2" w:lineRule="exact"/>
        <w:rPr>
          <w:sz w:val="24"/>
          <w:szCs w:val="24"/>
          <w:color w:val="auto"/>
        </w:rPr>
      </w:pPr>
    </w:p>
    <w:p>
      <w:pPr>
        <w:ind w:right="400"/>
        <w:spacing w:after="0" w:line="187" w:lineRule="auto"/>
        <w:rPr>
          <w:sz w:val="20"/>
          <w:szCs w:val="20"/>
          <w:color w:val="auto"/>
        </w:rPr>
      </w:pPr>
      <w:r>
        <w:rPr>
          <w:rFonts w:ascii="Times New Roman" w:cs="Times New Roman" w:eastAsia="Times New Roman" w:hAnsi="Times New Roman"/>
          <w:sz w:val="13"/>
          <w:szCs w:val="13"/>
          <w:b w:val="1"/>
          <w:bCs w:val="1"/>
          <w:color w:val="auto"/>
        </w:rPr>
        <w:t xml:space="preserve">REGISTERED FOREIGN LAWYERS: </w:t>
      </w:r>
      <w:r>
        <w:rPr>
          <w:rFonts w:ascii="Times New Roman" w:cs="Times New Roman" w:eastAsia="Times New Roman" w:hAnsi="Times New Roman"/>
          <w:sz w:val="13"/>
          <w:szCs w:val="13"/>
          <w:color w:val="auto"/>
        </w:rPr>
        <w:t>Gautam Agarwal</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Joseph R. Casey</w:t>
      </w: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Yuxin Chen</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Ju Huang</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Ding Jin</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Ming Kong</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Cori A. Lable</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Nicholas Tianchia Liew</w:t>
      </w: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Min Lu</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 Peng</w:t>
      </w: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3"/>
          <w:szCs w:val="13"/>
          <w:color w:val="auto"/>
        </w:rPr>
        <w:t xml:space="preserve"> | Shinong Wang</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Jodi K. Wu</w:t>
      </w: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3"/>
          <w:szCs w:val="13"/>
          <w:color w:val="auto"/>
        </w:rPr>
        <w:t xml:space="preserve"> | David Zhang</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Xiang Zhou</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3"/>
          <w:szCs w:val="13"/>
          <w:color w:val="auto"/>
        </w:rPr>
        <w:t xml:space="preserve"> | Ling Zhu</w:t>
      </w:r>
      <w:r>
        <w:rPr>
          <w:rFonts w:ascii="Times New Roman" w:cs="Times New Roman" w:eastAsia="Times New Roman" w:hAnsi="Times New Roman"/>
          <w:sz w:val="21"/>
          <w:szCs w:val="21"/>
          <w:color w:val="auto"/>
          <w:vertAlign w:val="superscript"/>
        </w:rPr>
        <w:t>3</w:t>
      </w:r>
    </w:p>
    <w:p>
      <w:pPr>
        <w:spacing w:after="0" w:line="180" w:lineRule="auto"/>
        <w:rPr>
          <w:sz w:val="20"/>
          <w:szCs w:val="20"/>
          <w:color w:val="auto"/>
        </w:rPr>
      </w:pPr>
      <w:r>
        <w:rPr>
          <w:rFonts w:ascii="Times New Roman" w:cs="Times New Roman" w:eastAsia="Times New Roman" w:hAnsi="Times New Roman"/>
          <w:sz w:val="14"/>
          <w:szCs w:val="14"/>
          <w:b w:val="1"/>
          <w:bCs w:val="1"/>
          <w:color w:val="auto"/>
        </w:rPr>
        <w:t xml:space="preserve">ADMITTED IN: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of Illinois (U.S.A.);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Commonwealth of Massachusetts (U.S.A.);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of New York (U.S.A.);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 of Wisconsin (U.S.A.);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England and Wales;</w:t>
      </w:r>
    </w:p>
    <w:p>
      <w:pPr>
        <w:spacing w:after="0" w:line="1" w:lineRule="exact"/>
        <w:rPr>
          <w:sz w:val="24"/>
          <w:szCs w:val="24"/>
          <w:color w:val="auto"/>
        </w:rPr>
      </w:pPr>
    </w:p>
    <w:p>
      <w:pPr>
        <w:ind w:left="100" w:hanging="92"/>
        <w:spacing w:after="0"/>
        <w:tabs>
          <w:tab w:leader="none" w:pos="100" w:val="left"/>
        </w:tabs>
        <w:numPr>
          <w:ilvl w:val="0"/>
          <w:numId w:val="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Victoria (Australia); </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New South Wales (Australia); </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4"/>
          <w:szCs w:val="14"/>
          <w:color w:val="auto"/>
        </w:rPr>
        <w:t xml:space="preserve"> State of Georgia (U.S.A.); </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4"/>
          <w:szCs w:val="14"/>
          <w:color w:val="auto"/>
        </w:rPr>
        <w:t xml:space="preserve"> State of California (U.S.A.);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non-resident</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Austin   Bay Area   Beijing   Boston   Brussels   Chicago   Dallas   Houston   London   Los Angeles   Munich   New York   Paris   Salt Lake City   Shanghai   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sectPr>
      </w:pPr>
    </w:p>
    <w:bookmarkStart w:id="1" w:name="page2"/>
    <w:bookmarkEnd w:id="1"/>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2762885</wp:posOffset>
            </wp:positionH>
            <wp:positionV relativeFrom="page">
              <wp:posOffset>586105</wp:posOffset>
            </wp:positionV>
            <wp:extent cx="204851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48510"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17"/>
          <w:szCs w:val="17"/>
          <w:color w:val="auto"/>
        </w:rPr>
        <w:t>2</w:t>
      </w:r>
    </w:p>
    <w:p>
      <w:pPr>
        <w:spacing w:after="0" w:line="191" w:lineRule="exact"/>
        <w:rPr>
          <w:sz w:val="20"/>
          <w:szCs w:val="20"/>
          <w:color w:val="auto"/>
        </w:rPr>
      </w:pPr>
    </w:p>
    <w:p>
      <w:pPr>
        <w:ind w:firstLine="638"/>
        <w:spacing w:after="0" w:line="258" w:lineRule="auto"/>
        <w:rPr>
          <w:sz w:val="20"/>
          <w:szCs w:val="20"/>
          <w:color w:val="auto"/>
        </w:rPr>
      </w:pPr>
      <w:r>
        <w:rPr>
          <w:rFonts w:ascii="Times New Roman" w:cs="Times New Roman" w:eastAsia="Times New Roman" w:hAnsi="Times New Roman"/>
          <w:sz w:val="18"/>
          <w:szCs w:val="18"/>
          <w:color w:val="auto"/>
        </w:rPr>
        <w:t>Furthermore, in making this confidential submission, the Company is complying with the 15-month requirement, rather than the 12-month requirement, with respect to the last year of audited financial statements, pursuant to Instruction 2 to Item 8.A.4 of Form 20-F. The Company represents to the Commission that: (i) the Company is not required to comply with the 12-month requirement in Item 8.A.4 of Form 20-F in any other jurisdiction outside the United States; and (ii) compliance with Item 8.A.4 of Form 20-F at present for this confidential submission of the Draft Registration Statement is impracticable and involves undue hardship for the Company.</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you have any question regarding the Draft Registration Statement, please contact the undersigned by phone at +852 3761 3318 (work) or +852 9124 8324 (cell) or via e-mail at david.zhang@kirkland.com, and Steve Lin by phone at +86 10 5737 9301 (work) or +86 186 1049 5593 (cell) or via e-mail at steve.lin@kirkland.com, or Charles Yin, partner at Marcum Asia CPAs LLP, by phone at +86 133 1619 6688 or via email at charles.yin@marcumasia.com. Marcum Asia CPAs LLP is the independent registered public accounting firm of the Company.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Thank you for your time and attention.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Zhang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w:t>
      </w:r>
    </w:p>
    <w:p>
      <w:pPr>
        <w:spacing w:after="0" w:line="225" w:lineRule="exact"/>
        <w:rPr>
          <w:sz w:val="20"/>
          <w:szCs w:val="20"/>
          <w:color w:val="auto"/>
        </w:rPr>
      </w:pPr>
    </w:p>
    <w:p>
      <w:pPr>
        <w:ind w:left="660" w:right="6880" w:hanging="652"/>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Mario Yau Kwan Ho, Co-Chief Executive Officer Hicham Chahine, Co-Chief Executive Officer Zhiyong Li, Chief Financial Officer</w:t>
      </w:r>
    </w:p>
    <w:p>
      <w:pPr>
        <w:spacing w:after="0" w:line="1" w:lineRule="exact"/>
        <w:rPr>
          <w:rFonts w:ascii="Times New Roman" w:cs="Times New Roman" w:eastAsia="Times New Roman" w:hAnsi="Times New Roman"/>
          <w:sz w:val="18"/>
          <w:szCs w:val="18"/>
          <w:color w:val="auto"/>
        </w:rPr>
      </w:pPr>
    </w:p>
    <w:p>
      <w:pPr>
        <w:ind w:left="660" w:right="6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Lin, Esq., Partner, Kirkland &amp; Ellis International LLP Charles Yin, Partner, Marcum Asia CPAs, LLP</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Yuting Wu, Esq., Partner,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6"/>
      <w:numFmt w:val="bullet"/>
      <w:start w:val="1"/>
    </w:lvl>
  </w:abstractNum>
  <w:abstractNum w:abstractNumId="1">
    <w:nsid w:val="66334873"/>
    <w:multiLevelType w:val="hybridMultilevel"/>
    <w:lvl w:ilvl="0">
      <w:lvlJc w:val="left"/>
      <w:lvlText w:val="c.%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2024-08-26T23:10:02Z</dcterms:created>
  <dcterms:modified xsi:type="dcterms:W3CDTF">2024-08-26T23:10:02Z</dcterms:modified>
</cp:coreProperties>
</file>