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NIP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654503101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CHIU Chang-Wei</w:t>
              <w:br/>
              <w:t>No. 2A, 255 Des Voeux Road West,, Sai Ying Pun, Hong Kong</w:t>
              <w:br/>
              <w:t>Hong Kong, K3, 000000</w:t>
              <w:br/>
              <w:t>852 84899659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11/03/2025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654503101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Prosperity Oak Holdings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57,965,652.00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57,965,652.00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57,965,652.00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Note to Row 1: Mr. CHIU Chang-Wei holds 100% of the voting power of the shares of Prosperity Oak Holdings Limited. 2. Each of Row 7, 9, and 11 represents 57,965,652 Class A Ordinary Shares held by Prosperity Oak Holdings Limited. 3. Note to Row 13: The percentage of class of securities beneficially owned by Prosperity Oak Holdings Limited is calculated based on a total of 197,363,156 Class A Ordinary Shares issued and outstanding (consisting of (i) 78,729,929 Class A Ordinary Shares issued and outstanding as of June 27, 2025, as reported in Exhibit 99.2 of the Issuer's Form 6-K filed with the Securities and Exchange Commission on July 1, 2025; minus (ii) ,920,212 Class A Ordinary Shares surrendered and cancelled as reported in the Issuer's Form 6-K filed with the Securities and Exchange Commission on August 8, 2025; plus (iii) 119,553,439 Class A Ordinary shares issued to Prosperity Oak Holdings Limited and certain other persons as the consideration of the Transaction (as defined herein below) on September 5 , 2025, as reported in Exhibit 99.1 of the Issuer's Form 6-K filed with the Securities and Exchange Commission on September 9, 2025). The voting power of the shares beneficially owned by Prosperity Oak Holdings Limited represents 6.1% of the total outstanding voting power. The percentage of voting power is calculated by dividing the voting power beneficially owned by Prosperity Oak Holdings Limited by the voting power of (i) a total of 197,363,156 Class A Ordinary Shares issued and outstanding, (ii) 24,641,937 Class B1 Ordinary Shares issued and outstanding as of June 27, 2025, as reported in Exhibit 99.2 of the Issuer's Form 6-K filed with the Securities and Exchange Commission on July 1, 2025, and (iii) 13,362,381 Class B2 Ordinary Shares issued and outstanding as of June 27, 2025, as reported in Exhibit 99.2 of the Issuer's Form 6-K filed with the Securities and Exchange Commission on July 1, 2025. In respect of all matters subject to a shareholders' vote, each Class A ordinary share is entitled to one vote, each Class B1 ordinary share is entitled to 20 votes, and each Class B2 ordinary share is entitled to 20 votes, voting together as one class.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654503101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CHIU Chang-Wei</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57,965,652.00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57,965,652.00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57,965,652.00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Note to Row 1: Mr. CHIU Chang-Wei holds 100% of the voting power of the shares of Prosperity Oak Holdings Limited. 2. Each of Row 7, 9, and 11 represents 57,965,652 Class A Ordinary Shares held by Prosperity Oak Holdings Limited. 3. Note to Row 13: The percentage of class of securities beneficially owned by Prosperity Oak Holdings Limited is calculated based on a total of 197,363,156 Class A Ordinary Shares issued and outstanding (consisting of (i) 78,729,929 Class A Ordinary Shares issued and outstanding as of June 27, 2025, as reported in Exhibit 99.2 of the Issuer's Form 6-K filed with the Securities and Exchange Commission on July 1, 2025; minus (ii) ,920,212 Class A Ordinary Shares surrendered and cancelled as reported in the Issuer's Form 6-K filed with the Securities and Exchange Commission on August 8, 2025; plus (iii) 119,553,439 Class A Ordinary shares issued to Prosperity Oak Holdings Limited and certain other persons as the consideration of the Transaction (as defined herein below) on September 5 , 2025, as reported in Exhibit 99.1 of the Issuer's Form 6-K filed with the Securities and Exchange Commission on September 9, 2025). The voting power of the shares beneficially owned by Prosperity Oak Holdings Limited represents 6.1% of the total outstanding voting power. The percentage of voting power is calculated by dividing the voting power beneficially owned by Prosperity Oak Holdings Limited by the voting power of (i) a total of 197,363,156 Class A Ordinary Shares issued and outstanding, (ii) 24,641,937 Class B1 Ordinary Shares issued and outstanding as of June 27, 2025, as reported in Exhibit 99.2 of the Issuer's Form 6-K filed with the Securities and Exchange Commission on July 1, 2025, and (iii) 13,362,381 Class B2 Ordinary Shares issued and outstanding as of June 27, 2025, as reported in Exhibit 99.2 of the Issuer's Form 6-K filed with the Securities and Exchange Commission on July 1, 2025. In respect of all matters subject to a shareholders' vote, each Class A ordinary share is entitled to one vote, each Class B1 ordinary share is entitled to 20 votes, and each Class B2 ordinary share is entitled to 20 votes, voting together as one class.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Item 1.</w:t>
            </w:r>
          </w:p>
        </w:tc>
        <w:tc>
          <w:tcPr>
            <w:tcW w:w="9041" w:type="dxa"/>
            <w:tcBorders/>
            <w:vAlign w:val="center"/>
          </w:tcPr>
          <w:p>
            <w:pPr>
              <w:pStyle w:val="TableContents"/>
              <w:bidi w:val="0"/>
              <w:spacing w:before="0" w:after="283"/>
              <w:jc w:val="left"/>
              <w:rPr/>
            </w:pPr>
            <w:r>
              <w:rPr/>
              <w:t>Security and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Name of Issuer: </w:t>
            </w:r>
          </w:p>
          <w:p>
            <w:pPr>
              <w:pStyle w:val="TableContents"/>
              <w:bidi w:val="0"/>
              <w:spacing w:before="0" w:after="0"/>
              <w:jc w:val="left"/>
              <w:rPr/>
            </w:pPr>
            <w:r>
              <w:rPr/>
              <w:t>NIP Group Inc.</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Rosenlundsgatan 31, 11 863, Stockholm, Sweden, Stockholm, SWEDEN , 11863.</w:t>
            </w:r>
          </w:p>
        </w:tc>
      </w:tr>
      <w:tr>
        <w:trPr/>
        <w:tc>
          <w:tcPr>
            <w:tcW w:w="1164" w:type="dxa"/>
            <w:tcBorders/>
            <w:vAlign w:val="center"/>
          </w:tcPr>
          <w:p>
            <w:pPr>
              <w:pStyle w:val="TableContents"/>
              <w:bidi w:val="0"/>
              <w:spacing w:before="0" w:after="283"/>
              <w:jc w:val="left"/>
              <w:rPr/>
            </w:pPr>
            <w:r>
              <w:rPr/>
              <w:t>Item 4.</w:t>
            </w:r>
          </w:p>
        </w:tc>
        <w:tc>
          <w:tcPr>
            <w:tcW w:w="9041" w:type="dxa"/>
            <w:tcBorders/>
            <w:vAlign w:val="center"/>
          </w:tcPr>
          <w:p>
            <w:pPr>
              <w:pStyle w:val="TableContents"/>
              <w:bidi w:val="0"/>
              <w:spacing w:before="0" w:after="283"/>
              <w:jc w:val="left"/>
              <w:rPr/>
            </w:pPr>
            <w:r>
              <w:rPr/>
              <w:t>Purpose of Transaction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On June 27, 2025, the Issuer, Apex Cyber Capital Limited ("Apex Cyber") and Fortune Peak Limited ("Fortune Peak") entered into a definitive asset-purchase agreement (the "First Tranche Agreement"), which contemplates the acquisition by the Issuer of on-rack crypto mining machines with an aggregate hash rate of 3.11 EH/s through issuance of Class A Ordinary Shares of the Issuer. On September 5, 2025, the Issuer, Apex Cyber, Fortune Peak and Prosperity Oak Holdings Limited entered into an amendment to the First Tranche Agreement (the "Amendment"), under which, among other things, Fortune Peak assigned all of its rights, benefits and obligations under the First Tranche Agreement to complete the transaction contemplated under the First Tranche Agreement (the "Transaction") to Prosperity Oak Holdings Limited ( the "Seller"). Pursuant to the First Tranche Agreement as amended by the Amendment, upon the closing of the Transaction, 57,965,652 Class A Ordinary Shares of the Issuer has been issued to the Seller. As a closing condition to the Transaction, upon the closing of the Transaction, the Seller, the Issuer and certain other parties also entered into an investor rights agreement (the "Investor Rights Agreement"), according to which the Seller is entitled to customary registration rights and the right to appoint one director of the Issuer, subject to certain restrictions. As of the closing of the Transaction on September 5, 2025, the Seller has appointed Simon Ming Yeung Tang to the board of the Issuer. On November 3, 2025, the Issuer, the Seller, Apex Cyber and certain other party (the "Second Tranche Selling Parties") entered into an asset-purchase agreement. Under the agreement, subject to certain closing conditions, the Issuer will acquire mining infrastructure and computational capacity with a combined hash rate of approximately 8.19 EH/s and will issue an aggregate of up to 314,515,762 Class A ordinary shares as consideration to the Second Tranche Selling Parties and/or the sellers that they procure. The information set forth in Item 6 is hereby incorporated by reference in its entirety. Other than as set forth in this Schedule 13D, no Reporting Person has any present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A class of securities of the Issuer being delisted from a national securities exchange or ceasing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r>
      <w:tr>
        <w:trPr/>
        <w:tc>
          <w:tcPr>
            <w:tcW w:w="1164" w:type="dxa"/>
            <w:tcBorders/>
            <w:vAlign w:val="center"/>
          </w:tcPr>
          <w:p>
            <w:pPr>
              <w:pStyle w:val="TableContents"/>
              <w:bidi w:val="0"/>
              <w:spacing w:before="0" w:after="283"/>
              <w:jc w:val="left"/>
              <w:rPr/>
            </w:pPr>
            <w:r>
              <w:rPr/>
              <w:t>Item 7.</w:t>
            </w:r>
          </w:p>
        </w:tc>
        <w:tc>
          <w:tcPr>
            <w:tcW w:w="9041" w:type="dxa"/>
            <w:tcBorders/>
            <w:vAlign w:val="center"/>
          </w:tcPr>
          <w:p>
            <w:pPr>
              <w:pStyle w:val="TableContents"/>
              <w:bidi w:val="0"/>
              <w:spacing w:before="0" w:after="283"/>
              <w:jc w:val="left"/>
              <w:rPr/>
            </w:pPr>
            <w:r>
              <w:rPr/>
              <w:t>Material to be Filed as Exhibits.</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99.1 Joint Filing Agreement 99.2 On-rack Sales and Purchase Agreement between NIP Group Inc. and Persons Listed in Section 1.1 of Appendix A, dated November 3, 2025 (incorporated herein by reference to Exhibit 99.2 to report of foreign private issuer on Form 6-K (File No. 001-42160), filed with Securities and Exchange Commission on November 3,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Prosperity Oak Holdings Limited</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CHIU Chang-Wei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CHIU Chang-Wei/Director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11/05/2025</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CHIU Chang-Wei</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CHIU Chang-Wei</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CHIU Chang-Wei</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11/05/2025</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bookmarkStart w:id="18" w:name="ex99-1.htm"/>
      <w:bookmarkStart w:id="19" w:name="ksex991"/>
      <w:bookmarkEnd w:id="18"/>
      <w:bookmarkEnd w:id="1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hereby confirms the agreement by and among the undersigned that the Schedule 13D filed with the Securities and Exchange Commission on or about the date hereof with respect to the beneficial ownership by the undersigned of the Class A Ordinary Shares, par value $0.0001 per share, of NIP Group Inc. is being filed, and all amendments thereto will be filed, on behalf of each of the entities named below that is named as a reporting person in such filing in accordance with Rule 13d-1(k) under the Securities Exchange Act of 1934, as amended. This agreement may be executed in any number of counterparts, each of which shall be deemed an original, but all of which together shall constitute one and the same instrument.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November 5, 2025.</w:t>
      </w:r>
    </w:p>
    <w:p>
      <w:pPr>
        <w:pStyle w:val="TextBody"/>
        <w:shd w:fill="FFFFFF" w:val="clear"/>
        <w:bidi w:val="0"/>
        <w:ind w:left="0" w:right="0" w:firstLine="720"/>
        <w:jc w:val="both"/>
        <w:rPr>
          <w:caps w:val="false"/>
          <w:smallCaps w:val="false"/>
        </w:rPr>
      </w:pPr>
      <w:r>
        <w:rPr>
          <w:caps w:val="false"/>
          <w:smallCaps w:val="false"/>
        </w:rPr>
        <w:t> </w:t>
      </w:r>
    </w:p>
    <w:tbl>
      <w:tblPr>
        <w:tblW w:w="2944" w:type="dxa"/>
        <w:jc w:val="left"/>
        <w:tblInd w:w="0" w:type="dxa"/>
        <w:shd w:fill="FFFFFF" w:val="clear"/>
        <w:tblLayout w:type="fixed"/>
        <w:tblCellMar>
          <w:top w:w="0" w:type="dxa"/>
          <w:left w:w="0" w:type="dxa"/>
          <w:bottom w:w="0" w:type="dxa"/>
          <w:right w:w="0" w:type="dxa"/>
        </w:tblCellMar>
      </w:tblPr>
      <w:tblGrid>
        <w:gridCol w:w="75"/>
        <w:gridCol w:w="692"/>
        <w:gridCol w:w="2177"/>
      </w:tblGrid>
      <w:tr>
        <w:trPr/>
        <w:tc>
          <w:tcPr>
            <w:tcW w:w="75" w:type="dxa"/>
            <w:tcBorders/>
            <w:shd w:fill="FFFFFF" w:val="clear"/>
            <w:vAlign w:val="center"/>
          </w:tcPr>
          <w:p>
            <w:pPr>
              <w:pStyle w:val="TableContents"/>
              <w:bidi w:val="0"/>
              <w:spacing w:before="0" w:after="283"/>
              <w:jc w:val="left"/>
              <w:rPr/>
            </w:pPr>
            <w:r>
              <w:rPr/>
              <w:t> </w:t>
            </w:r>
          </w:p>
        </w:tc>
        <w:tc>
          <w:tcPr>
            <w:tcW w:w="2869" w:type="dxa"/>
            <w:gridSpan w:val="2"/>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Prosperity Oak Holdings Limited</w:t>
            </w:r>
          </w:p>
        </w:tc>
      </w:tr>
      <w:tr>
        <w:trPr/>
        <w:tc>
          <w:tcPr>
            <w:tcW w:w="75" w:type="dxa"/>
            <w:tcBorders/>
            <w:shd w:fill="FFFFFF" w:val="clear"/>
            <w:vAlign w:val="center"/>
          </w:tcPr>
          <w:p>
            <w:pPr>
              <w:pStyle w:val="TableContents"/>
              <w:bidi w:val="0"/>
              <w:spacing w:before="0" w:after="283"/>
              <w:jc w:val="left"/>
              <w:rPr/>
            </w:pPr>
            <w:r>
              <w:rPr/>
              <w:t> </w:t>
            </w:r>
          </w:p>
        </w:tc>
        <w:tc>
          <w:tcPr>
            <w:tcW w:w="2869" w:type="dxa"/>
            <w:gridSpan w:val="2"/>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77"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CHIU Chang-Wei</w:t>
            </w:r>
          </w:p>
        </w:tc>
      </w:tr>
      <w:tr>
        <w:trPr/>
        <w:tc>
          <w:tcPr>
            <w:tcW w:w="75"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CHIU Chang-Wei</w:t>
            </w:r>
          </w:p>
        </w:tc>
      </w:tr>
      <w:tr>
        <w:trPr/>
        <w:tc>
          <w:tcPr>
            <w:tcW w:w="75"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shd w:fill="FFFFFF" w:val="clear"/>
        <w:bidi w:val="0"/>
        <w:jc w:val="left"/>
        <w:rPr>
          <w:caps w:val="false"/>
          <w:smallCaps w:val="false"/>
        </w:rPr>
      </w:pPr>
      <w:r>
        <w:rPr>
          <w:caps w:val="false"/>
          <w:smallCaps w:val="false"/>
        </w:rPr>
        <w:t> </w:t>
      </w:r>
    </w:p>
    <w:tbl>
      <w:tblPr>
        <w:tblW w:w="1790" w:type="dxa"/>
        <w:jc w:val="left"/>
        <w:tblInd w:w="0" w:type="dxa"/>
        <w:shd w:fill="FFFFFF" w:val="clear"/>
        <w:tblLayout w:type="fixed"/>
        <w:tblCellMar>
          <w:top w:w="0" w:type="dxa"/>
          <w:left w:w="0" w:type="dxa"/>
          <w:bottom w:w="0" w:type="dxa"/>
          <w:right w:w="0" w:type="dxa"/>
        </w:tblCellMar>
      </w:tblPr>
      <w:tblGrid>
        <w:gridCol w:w="75"/>
        <w:gridCol w:w="1715"/>
      </w:tblGrid>
      <w:tr>
        <w:trPr/>
        <w:tc>
          <w:tcPr>
            <w:tcW w:w="75" w:type="dxa"/>
            <w:tcBorders/>
            <w:shd w:fill="FFFFFF" w:val="clear"/>
            <w:vAlign w:val="center"/>
          </w:tcPr>
          <w:p>
            <w:pPr>
              <w:pStyle w:val="TableContents"/>
              <w:bidi w:val="0"/>
              <w:spacing w:before="0" w:after="283"/>
              <w:jc w:val="left"/>
              <w:rPr/>
            </w:pPr>
            <w:r>
              <w:rPr/>
              <w:t> </w:t>
            </w:r>
          </w:p>
        </w:tc>
        <w:tc>
          <w:tcPr>
            <w:tcW w:w="1715"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CHIU Chang-Wei</w:t>
            </w:r>
          </w:p>
        </w:tc>
      </w:tr>
      <w:tr>
        <w:trPr/>
        <w:tc>
          <w:tcPr>
            <w:tcW w:w="75"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CHIU Chang-Wei</w:t>
            </w:r>
          </w:p>
        </w:tc>
      </w:tr>
    </w:tbl>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2105</Words>
  <Characters>10827</Characters>
  <CharactersWithSpaces>12874</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